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50F45" w14:textId="77777777" w:rsidR="00F1541A" w:rsidRDefault="00BE3800">
      <w:pPr>
        <w:tabs>
          <w:tab w:val="left" w:pos="413"/>
          <w:tab w:val="left" w:pos="9072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  <w:color w:val="000000"/>
          <w:u w:val="single"/>
        </w:rPr>
      </w:pPr>
      <w:bookmarkStart w:id="0" w:name="_heading=h.tqddankgq3j0" w:colFirst="0" w:colLast="0"/>
      <w:bookmarkEnd w:id="0"/>
      <w:r>
        <w:rPr>
          <w:rFonts w:ascii="Century Gothic" w:eastAsia="Century Gothic" w:hAnsi="Century Gothic" w:cs="Century Gothic"/>
          <w:b/>
          <w:bCs/>
          <w:color w:val="000000"/>
          <w:u w:val="single"/>
        </w:rPr>
        <w:t>ESTUDO TÉCNICO PRELIMINAR</w:t>
      </w:r>
    </w:p>
    <w:p w14:paraId="4E57B42A" w14:textId="77777777" w:rsidR="00F1541A" w:rsidRDefault="00BE3800">
      <w:pPr>
        <w:pStyle w:val="Ttulo1"/>
        <w:numPr>
          <w:ilvl w:val="0"/>
          <w:numId w:val="1"/>
        </w:numPr>
      </w:pPr>
      <w:bookmarkStart w:id="1" w:name="_heading=h.8zcgpzlh90qq" w:colFirst="0" w:colLast="0"/>
      <w:bookmarkEnd w:id="1"/>
      <w:r>
        <w:t>INTRODUÇÃO.</w:t>
      </w:r>
    </w:p>
    <w:p w14:paraId="15A790E4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O Estudo Técnico Preliminar – ETP é o documento constitutivo da primeira etapa do planejamento de uma contratação que caracteriza o interesse público envolvido e a sua melhor solução é dar base ao anteprojeto, ao termo de referência ou ao projeto básico a serem elaborado caso se conclua pela viabilidade da contratação.</w:t>
      </w:r>
    </w:p>
    <w:p w14:paraId="586E484E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Este estudo foi elaborado com base no Art. 6º do Decreto Municipal Nº 015/2024 de 11 de Janeiro de 2024 e Lei Federal Nº 14.133/2021.</w:t>
      </w:r>
    </w:p>
    <w:p w14:paraId="19D8AB22" w14:textId="77777777" w:rsidR="00F1541A" w:rsidRDefault="00BE3800">
      <w:pPr>
        <w:pStyle w:val="Ttulo1"/>
        <w:numPr>
          <w:ilvl w:val="0"/>
          <w:numId w:val="1"/>
        </w:numPr>
      </w:pPr>
      <w:bookmarkStart w:id="2" w:name="_heading=h.belbdk8oy83" w:colFirst="0" w:colLast="0"/>
      <w:bookmarkEnd w:id="2"/>
      <w:r>
        <w:t>DESCRIÇÃO DA NECESSIDADE DA CONTRATAÇÃO.</w:t>
      </w:r>
    </w:p>
    <w:p w14:paraId="282A062E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 Secretaria Municipal de Saúde de Lobato – PR, no exercício de suas atribuições legais e visando garantir a continuidade e a qualidade dos serviços de saúde pública, necessita realizar a aquisição de medicamentos para atender às demandas da população usuária do Sistema Único de Saúde (SUS). </w:t>
      </w:r>
    </w:p>
    <w:p w14:paraId="6F3BC97B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Os medicamentos a serem adquiridos destinam-se à dispensação direta à população, bem como à utilização nos atendimentos do Núcleo Integrado de Saúde do município. </w:t>
      </w:r>
    </w:p>
    <w:p w14:paraId="63AD6B6B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Essa aquisição é fundamental para garantir o acesso da população aos tratamentos medicamentosos necessários, conforme os protocolos clínicos, diretrizes terapêuticas e políticas públicas vigentes. Além disso, assegura o abastecimento contínuo da Farmácia Básica Municipal e de outras unidades assistenciais, prevenindo desabastecimentos e contribuindo para o cuidado integral à saúde dos munícipes. </w:t>
      </w:r>
    </w:p>
    <w:p w14:paraId="0EFECBE7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 ausência ou insuficiência de medicamentos compromete diretamente a continuidade dos tratamentos, podendo causar agravamento do estado de saúde dos pacientes, aumento de internações e sobrecarga nos serviços de urgência e emergência. Por isso, a reposição adequada do estoque e a previsão de futuras demandas são ações estratégicas para o funcionamento regular da rede de atenção à saúde.</w:t>
      </w:r>
    </w:p>
    <w:p w14:paraId="5FE12333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 medida visa atender à legislação vigente, em especial os princípios do SUS, como o acesso universal, equânime e contínuo à assistência farmacêutica, promovendo a efetividade dos serviços prestados no âmbito da Rede Municipal de Saúde.</w:t>
      </w:r>
    </w:p>
    <w:p w14:paraId="5B1043E7" w14:textId="77777777" w:rsidR="00F1541A" w:rsidRDefault="00BE3800">
      <w:pPr>
        <w:pStyle w:val="Ttulo1"/>
        <w:numPr>
          <w:ilvl w:val="0"/>
          <w:numId w:val="1"/>
        </w:numPr>
      </w:pPr>
      <w:r>
        <w:t>PREVISÃO DA CONTRATAÇÃO NO PLANO DE CONTRATAÇÕES ANUAL – PCA</w:t>
      </w:r>
    </w:p>
    <w:p w14:paraId="1A09CFBC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No momento, a Administração Pública Municipal de Lobato não possui um Plano de Contratações Anual. Entretanto, a contratação está alinhada com os objetivos e metas do órgão. Ainda que não haja um Plano de Contratações Anual, a contratação está em conformidade com os princípios e diretrizes estabelecidos na legislação aplicável e no interesse público. </w:t>
      </w:r>
    </w:p>
    <w:p w14:paraId="05731879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 previsão de recursos financeiros necessários para a realização desta contratação será incluída no orçamento do órgão ou entidade, garantindo a viabilidade financeira da contratação.</w:t>
      </w:r>
    </w:p>
    <w:p w14:paraId="2B7E7DC6" w14:textId="77777777" w:rsidR="00F1541A" w:rsidRDefault="00BE3800">
      <w:pPr>
        <w:pStyle w:val="Ttulo1"/>
        <w:numPr>
          <w:ilvl w:val="0"/>
          <w:numId w:val="1"/>
        </w:numPr>
      </w:pPr>
      <w:r>
        <w:lastRenderedPageBreak/>
        <w:t>REQUISITOS DE CONTRATAÇÃO.</w:t>
      </w:r>
    </w:p>
    <w:p w14:paraId="2EABE807" w14:textId="77777777" w:rsidR="000C21DE" w:rsidRDefault="00BE3800" w:rsidP="000C21D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0C21DE">
        <w:rPr>
          <w:rFonts w:ascii="Century Gothic" w:eastAsia="Century Gothic" w:hAnsi="Century Gothic" w:cs="Century Gothic"/>
          <w:color w:val="000000"/>
        </w:rPr>
        <w:t xml:space="preserve">Poderão participar da licitação as empresas do ramo de atividade compatível e pertinente ao presente objeto. </w:t>
      </w:r>
    </w:p>
    <w:p w14:paraId="13F118E1" w14:textId="77777777" w:rsidR="000C21DE" w:rsidRDefault="000C21DE" w:rsidP="000C21D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0C21DE">
        <w:rPr>
          <w:rFonts w:ascii="Century Gothic" w:eastAsia="Century Gothic" w:hAnsi="Century Gothic" w:cs="Century Gothic"/>
          <w:color w:val="000000"/>
        </w:rPr>
        <w:t>A Contratada deverá estar regularizada quanto a emissão de nota fiscal de acordo</w:t>
      </w:r>
      <w:r>
        <w:rPr>
          <w:rFonts w:ascii="Century Gothic" w:eastAsia="Century Gothic" w:hAnsi="Century Gothic" w:cs="Century Gothic"/>
          <w:color w:val="000000"/>
        </w:rPr>
        <w:t xml:space="preserve"> com a legislação vigente. </w:t>
      </w:r>
    </w:p>
    <w:p w14:paraId="23543C64" w14:textId="77777777" w:rsidR="000C21DE" w:rsidRDefault="000C21DE" w:rsidP="000C21D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0C21DE">
        <w:rPr>
          <w:rFonts w:ascii="Century Gothic" w:eastAsia="Century Gothic" w:hAnsi="Century Gothic" w:cs="Century Gothic"/>
          <w:color w:val="000000"/>
        </w:rPr>
        <w:t>O fornecedor deve ter capacidade logística para fornecer o objeto, de acordo com o cronograma estabelecido, e em quantidade e qualidade adequada</w:t>
      </w:r>
      <w:r>
        <w:rPr>
          <w:rFonts w:ascii="Century Gothic" w:eastAsia="Century Gothic" w:hAnsi="Century Gothic" w:cs="Century Gothic"/>
          <w:color w:val="000000"/>
        </w:rPr>
        <w:t xml:space="preserve"> ao solicitado.  </w:t>
      </w:r>
    </w:p>
    <w:p w14:paraId="719D9B32" w14:textId="77777777" w:rsidR="000C21DE" w:rsidRDefault="000C21DE" w:rsidP="000C21D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0C21DE">
        <w:rPr>
          <w:rFonts w:ascii="Century Gothic" w:eastAsia="Century Gothic" w:hAnsi="Century Gothic" w:cs="Century Gothic"/>
          <w:color w:val="000000"/>
        </w:rPr>
        <w:t xml:space="preserve">A Contratada deverá apresentar </w:t>
      </w:r>
      <w:r w:rsidRPr="000C21DE">
        <w:rPr>
          <w:rFonts w:ascii="Century Gothic" w:eastAsia="Century Gothic" w:hAnsi="Century Gothic" w:cs="Century Gothic"/>
          <w:b/>
          <w:color w:val="000000"/>
        </w:rPr>
        <w:t>Autorização de funcionamento expedido pela Agência Nacional de Vigilância Sanitária – ANVISA</w:t>
      </w:r>
      <w:r w:rsidRPr="000C21DE">
        <w:rPr>
          <w:rFonts w:ascii="Century Gothic" w:eastAsia="Century Gothic" w:hAnsi="Century Gothic" w:cs="Century Gothic"/>
          <w:color w:val="000000"/>
        </w:rPr>
        <w:t xml:space="preserve">, para comercialização de Produtos para saúde, em plena validade com situação ativa (via internet), conforme exigido em Lei Federal nº 6.360/76 (art. 2º), Decreto Federal nº 79.094/77 (art. 2º), Lei Federal nº 9.782/99 (art. 7º, inciso VI) e Portaria Federal nº 2.814 de 29/05/98. </w:t>
      </w:r>
    </w:p>
    <w:p w14:paraId="4657C952" w14:textId="77777777" w:rsidR="000C21DE" w:rsidRDefault="000C21DE" w:rsidP="000C21D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0C21DE">
        <w:rPr>
          <w:rFonts w:ascii="Century Gothic" w:eastAsia="Century Gothic" w:hAnsi="Century Gothic" w:cs="Century Gothic"/>
          <w:color w:val="000000"/>
        </w:rPr>
        <w:t xml:space="preserve">Todas as medidas sustentáveis devem estar alinhadas com os objetivos de desenvolvimento sustentável (ODS) estipulados pela Organização das Nações Unidas (ONU) e com a Política Nacional de Resíduos Sólidos (PNRS) estabelecida pela Lei n° 12.305/2010. Devem também quando for o caso e necessidade utilizar materiais recicláveis, biodegradáveis ou de menor impacto ambiental. </w:t>
      </w:r>
    </w:p>
    <w:p w14:paraId="30D327E1" w14:textId="77777777" w:rsidR="000C21DE" w:rsidRDefault="000C21DE" w:rsidP="000C21D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0C21DE">
        <w:rPr>
          <w:rFonts w:ascii="Century Gothic" w:eastAsia="Century Gothic" w:hAnsi="Century Gothic" w:cs="Century Gothic"/>
          <w:color w:val="000000"/>
        </w:rPr>
        <w:t xml:space="preserve">Com base na descrição dos produtos e no atendimento adequado às necessidades desta entidade, ficam fixados como requisitos de contratação, consubstanciados em requisitos de habilitação e qualificação mínima necessária, nos termos do art. 62 da Lei Federal nº 14.133, de 2021, os seguintes: </w:t>
      </w:r>
    </w:p>
    <w:p w14:paraId="2FADBB74" w14:textId="77777777" w:rsidR="00F1541A" w:rsidRPr="000C21DE" w:rsidRDefault="00BE3800" w:rsidP="000C21DE">
      <w:pPr>
        <w:pStyle w:val="PargrafodaLista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0C21DE">
        <w:rPr>
          <w:rFonts w:ascii="Century Gothic" w:eastAsia="Century Gothic" w:hAnsi="Century Gothic" w:cs="Century Gothic"/>
          <w:color w:val="000000"/>
        </w:rPr>
        <w:t>Na proposta a ser enviada pelo licitante, a comprovação dos registros dos medicamentos/materiais de saúde ou da declaração da isenção do registro deverá ser efetuada através de: Cópia da Publicação no D.O.U. – Diário Oficial da União; ou Cópia emitida eletronicamente através do sítio da Agência Nacional da Vigilância Sanitária; ou Cópia da Declaração de notificação ou do Certificado de Dispensa de Registro do produto emitido pela Agência Nacional da Vigilância Sanitária.</w:t>
      </w:r>
    </w:p>
    <w:p w14:paraId="36FD2D61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No caso de exercício de atividade de fabricação, importação ou distribuição de medicamentos e materiais de uso em saúde, o licitante deverá anexar, juntamente com a proposta, os seguintes documentos:</w:t>
      </w:r>
    </w:p>
    <w:p w14:paraId="29C2ACB8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Autorização para funcionamento, expedida pela Agência Nacional da Vigilância Sanitária, do Ministério da Saúde (ANVISA), do fabricante ou importador.</w:t>
      </w:r>
    </w:p>
    <w:p w14:paraId="2C68D773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Autorização Especial de Funcionamento (AE): deve ser solicitada para as mesmas atividades, mas para as empresas que trabalharão com medicamentos ou insumos sujeitos a controle especial (Portaria 344/1998); </w:t>
      </w:r>
    </w:p>
    <w:p w14:paraId="4D1E30FE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Licença de Funcionamento Estadual ou Municipal, emitida pelo Serviço de Vigilância Sanitária da Secretaria de Saúde Estadual ou Municipal, da sede do licitante. </w:t>
      </w:r>
    </w:p>
    <w:p w14:paraId="1A4A4E6D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Certificado de Boas Práticas de Fabricação e Controle por Linha de Produção / Medicamentos, emitido pela Secretaria de Vigilância Sanitária do Ministério da Saúde. No caso de medicamento importado é também necessária apresentação do Certificado de Boas Práticas de Fabricação e Controle emitido pela Autoridade Sanitária do País de origem ou Laudo de Inspeção emitido pela Autoridade Sanitária Brasileira. </w:t>
      </w:r>
    </w:p>
    <w:p w14:paraId="78772FB2" w14:textId="3AD78047" w:rsidR="00F1541A" w:rsidRPr="007E2563" w:rsidRDefault="00BE3800" w:rsidP="007E2563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Registro do responsável técnico no determinado conselho de classe, vigente</w:t>
      </w:r>
      <w:r w:rsidR="007E2563">
        <w:rPr>
          <w:rFonts w:ascii="Century Gothic" w:eastAsia="Century Gothic" w:hAnsi="Century Gothic" w:cs="Century Gothic"/>
          <w:color w:val="000000"/>
        </w:rPr>
        <w:t>.</w:t>
      </w:r>
    </w:p>
    <w:p w14:paraId="0F6DC68A" w14:textId="77777777" w:rsidR="00F1541A" w:rsidRDefault="00BE3800" w:rsidP="003930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b/>
          <w:color w:val="000000"/>
        </w:rPr>
      </w:pPr>
      <w:r w:rsidRPr="000C21DE">
        <w:rPr>
          <w:rFonts w:ascii="Century Gothic" w:eastAsia="Century Gothic" w:hAnsi="Century Gothic" w:cs="Century Gothic"/>
          <w:b/>
          <w:color w:val="000000"/>
        </w:rPr>
        <w:t xml:space="preserve">DOS REQUISITOS QUANTO AOS ITENS. </w:t>
      </w:r>
    </w:p>
    <w:p w14:paraId="4CC3E872" w14:textId="77777777" w:rsidR="00F1541A" w:rsidRDefault="00BE3800" w:rsidP="0039306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lastRenderedPageBreak/>
        <w:t xml:space="preserve">O prazo de validade dos itens deve ser de no mínimo </w:t>
      </w:r>
      <w:r>
        <w:rPr>
          <w:rFonts w:ascii="Century Gothic" w:eastAsia="Century Gothic" w:hAnsi="Century Gothic" w:cs="Century Gothic"/>
          <w:b/>
          <w:bCs/>
          <w:color w:val="000000"/>
        </w:rPr>
        <w:t>12 MESES</w:t>
      </w:r>
      <w:r>
        <w:rPr>
          <w:rFonts w:ascii="Century Gothic" w:eastAsia="Century Gothic" w:hAnsi="Century Gothic" w:cs="Century Gothic"/>
          <w:color w:val="000000"/>
        </w:rPr>
        <w:t xml:space="preserve">, contados da data de recebimento, e quando não atender a este critério deverá ser remetida ao ente contratante carta de comprometimento de troca. </w:t>
      </w:r>
    </w:p>
    <w:p w14:paraId="12B94CFD" w14:textId="77777777" w:rsidR="0039306A" w:rsidRDefault="0039306A" w:rsidP="0039306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39306A">
        <w:rPr>
          <w:rFonts w:ascii="Century Gothic" w:eastAsia="Century Gothic" w:hAnsi="Century Gothic" w:cs="Century Gothic"/>
          <w:color w:val="000000"/>
        </w:rPr>
        <w:t>Não serão aceitos me</w:t>
      </w:r>
      <w:r>
        <w:rPr>
          <w:rFonts w:ascii="Century Gothic" w:eastAsia="Century Gothic" w:hAnsi="Century Gothic" w:cs="Century Gothic"/>
          <w:color w:val="000000"/>
        </w:rPr>
        <w:t xml:space="preserve">dicamentos “bonificados”. </w:t>
      </w:r>
    </w:p>
    <w:p w14:paraId="3306AC6A" w14:textId="77777777" w:rsidR="00F1541A" w:rsidRDefault="00BE3800" w:rsidP="003930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O prazo de vigência da contratação é de (12) doze meses.</w:t>
      </w:r>
    </w:p>
    <w:p w14:paraId="22113BF2" w14:textId="77777777" w:rsidR="00F1541A" w:rsidRDefault="00BE3800">
      <w:pPr>
        <w:pStyle w:val="Ttulo1"/>
        <w:numPr>
          <w:ilvl w:val="0"/>
          <w:numId w:val="1"/>
        </w:numPr>
      </w:pPr>
      <w:r>
        <w:t>ESTIMATIVA DAS QUANTIDADES PARA A CONTRATAÇÃO</w:t>
      </w:r>
    </w:p>
    <w:p w14:paraId="0A3579CD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As quantidades foram estabelecidas de acordo com o histórico de aquisição:</w:t>
      </w:r>
    </w:p>
    <w:p w14:paraId="0C4CB8E1" w14:textId="77777777" w:rsidR="006365B6" w:rsidRDefault="006365B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</w:rPr>
      </w:pPr>
    </w:p>
    <w:tbl>
      <w:tblPr>
        <w:tblW w:w="8472" w:type="dxa"/>
        <w:tblLayout w:type="fixed"/>
        <w:tblLook w:val="0400" w:firstRow="0" w:lastRow="0" w:firstColumn="0" w:lastColumn="0" w:noHBand="0" w:noVBand="1"/>
      </w:tblPr>
      <w:tblGrid>
        <w:gridCol w:w="894"/>
        <w:gridCol w:w="1404"/>
        <w:gridCol w:w="1004"/>
        <w:gridCol w:w="5170"/>
      </w:tblGrid>
      <w:tr w:rsidR="00CA69F1" w:rsidRPr="00CA69F1" w14:paraId="1A5638AD" w14:textId="77777777" w:rsidTr="00CA69F1">
        <w:trPr>
          <w:trHeight w:val="20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A9A9"/>
          </w:tcPr>
          <w:p w14:paraId="4EED27D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9A9A9"/>
          </w:tcPr>
          <w:p w14:paraId="7B1D60E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QUANTIDADE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9A9A9"/>
          </w:tcPr>
          <w:p w14:paraId="311A7D6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5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9A9A9"/>
          </w:tcPr>
          <w:p w14:paraId="604A381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</w:tr>
      <w:tr w:rsidR="00CA69F1" w:rsidRPr="00CA69F1" w14:paraId="3376785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8FD6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ED10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sz w:val="16"/>
                <w:szCs w:val="16"/>
              </w:rPr>
              <w:t>400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5EDC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EFAC1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BR0266706 BUDESONIDA, AEROSSOL NASAL, CONCENTRAÇÃO: 32MCG/DOSE, FRASCO COM VÁLVULA DOSIFICADORA. 120 DOSES</w:t>
            </w:r>
          </w:p>
        </w:tc>
      </w:tr>
      <w:tr w:rsidR="00CA69F1" w:rsidRPr="00CA69F1" w14:paraId="7D038760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333E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A719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49DC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832F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BR0267107 FENITOÍNA SÓDICA, DOSAGEM: 50 MG/ML, SOLUÇÃO INJETÁVEL. AMPOLA 5 ML</w:t>
            </w:r>
          </w:p>
        </w:tc>
      </w:tr>
      <w:tr w:rsidR="00CA69F1" w:rsidRPr="00CA69F1" w14:paraId="1411914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D5DE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7E2F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A461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EC03B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BR0267140 AZITROMICINA; DOSAGEM: 500MG. COMPRIMIDO</w:t>
            </w:r>
          </w:p>
        </w:tc>
      </w:tr>
      <w:tr w:rsidR="00CA69F1" w:rsidRPr="00CA69F1" w14:paraId="488EA02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EC4E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3CA2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EE88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C38DE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BR0267162 CLORETO DE POTÁSSIO, DOSAGEM: 19,1%, SOLUÇÃO INJETÁVEL. AMPOLA 10 ML</w:t>
            </w:r>
          </w:p>
        </w:tc>
      </w:tr>
      <w:tr w:rsidR="00CA69F1" w:rsidRPr="00CA69F1" w14:paraId="32F39A1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2A34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DB91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2CEA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F671D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BR0267194 DIAZEPAM, DOSAGEM: 5 MG/ML, SOLUÇÃO INJETÁVEL. AMPOLA 2 ML</w:t>
            </w:r>
          </w:p>
        </w:tc>
      </w:tr>
      <w:tr w:rsidR="00CA69F1" w:rsidRPr="00CA69F1" w14:paraId="5623A6F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AC33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0CA1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4858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465D6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BR0267195 DIAZEPAM, DOSAGEM: 5MG. COMPRIMIDO</w:t>
            </w:r>
          </w:p>
        </w:tc>
      </w:tr>
      <w:tr w:rsidR="00CA69F1" w:rsidRPr="00CA69F1" w14:paraId="625F59A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A5FF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0BD6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F127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A80A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BR0267197 DIAZEPAM, DOSAGEM: 10MG. COMPRIMIDO</w:t>
            </w:r>
          </w:p>
        </w:tc>
      </w:tr>
      <w:tr w:rsidR="00CA69F1" w:rsidRPr="00CA69F1" w14:paraId="793749A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03E1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A654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60.00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B15F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F2FA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BR0267203 DIPIRONA SÓDICA, DOSAGEM: 500MG. COMPRIMIDO</w:t>
            </w:r>
          </w:p>
        </w:tc>
      </w:tr>
      <w:tr w:rsidR="00CA69F1" w:rsidRPr="00CA69F1" w14:paraId="02EC50A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11D3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A1AD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4D13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4740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BR0267205 DIPIRONA SÓDICA, DOSAGEM: 500MG/ML, SOLUÇÃO ORAL 10 ML – GOTAS.</w:t>
            </w:r>
          </w:p>
        </w:tc>
      </w:tr>
      <w:tr w:rsidR="00CA69F1" w:rsidRPr="00CA69F1" w14:paraId="1999C8D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F1C7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4D0F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241C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BIS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1DD76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BR0267208 ESTRIOL, CONCENTRAÇÃO: 1 MG/G, CREME VAGINAL. BISNAGA 50 G</w:t>
            </w:r>
          </w:p>
        </w:tc>
      </w:tr>
      <w:tr w:rsidR="00CA69F1" w:rsidRPr="00CA69F1" w14:paraId="25A72E9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BADB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305E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5C43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10ED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BR0267310 METOCLOPRAMIDA, CLORIDRATO; DOSAGEM: 5 MG/ML, SOLUÇÃO INJETÁVEL. AMPOLA 2 ML</w:t>
            </w:r>
          </w:p>
        </w:tc>
      </w:tr>
      <w:tr w:rsidR="00CA69F1" w:rsidRPr="00CA69F1" w14:paraId="3396165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400B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875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3731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F1F6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BR0267311 METOCLOPRAMIDA CLORIDRATO, DOSAGEM: 4MG/ML, SOLUÇÃO ORAL. FRASCO 10 ML</w:t>
            </w:r>
          </w:p>
        </w:tc>
      </w:tr>
      <w:tr w:rsidR="00CA69F1" w:rsidRPr="00CA69F1" w14:paraId="361E135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4461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1166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53C8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7324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BR0267312 METOCLOPRAMIDA CLORIDRATO, DOSAGEM: 10MG. COMPRIMIDO</w:t>
            </w:r>
          </w:p>
        </w:tc>
      </w:tr>
      <w:tr w:rsidR="00CA69F1" w:rsidRPr="00CA69F1" w14:paraId="60FC7A8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8630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C7B8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CD94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7E802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BR0267502 ÁCIDO ACETILSALICÍLICO; DOSAGEM: 100MG. COMPRIMIDO</w:t>
            </w:r>
          </w:p>
        </w:tc>
      </w:tr>
      <w:tr w:rsidR="00CA69F1" w:rsidRPr="00CA69F1" w14:paraId="3FB89E5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66DA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9983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CCD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D851E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BR0267503 ÁCIDO FÓLICO; DOSAGEM: 5MG. COMPRIMIDO</w:t>
            </w:r>
          </w:p>
        </w:tc>
      </w:tr>
      <w:tr w:rsidR="00CA69F1" w:rsidRPr="00CA69F1" w14:paraId="56B62B32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F9CF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67BE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B957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CE9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BR0267504 ÁCIDO VALPRÓICO, CONCENTRAÇÃO: 250 MG</w:t>
            </w:r>
          </w:p>
        </w:tc>
      </w:tr>
      <w:tr w:rsidR="00CA69F1" w:rsidRPr="00CA69F1" w14:paraId="653A776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4143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8C09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18B0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05B3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BR0267505 ÁCIDO VALPRÓICO, CONCENTRAÇÃO: 500 MG</w:t>
            </w:r>
          </w:p>
        </w:tc>
      </w:tr>
      <w:tr w:rsidR="00CA69F1" w:rsidRPr="00CA69F1" w14:paraId="217B099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44A7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8B39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E2F8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0936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BR0267506 ALBENDAZOL, DOSAGEM: 400 MG, COMPRIMIDO</w:t>
            </w:r>
          </w:p>
        </w:tc>
      </w:tr>
      <w:tr w:rsidR="00CA69F1" w:rsidRPr="00CA69F1" w14:paraId="29AD9E3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B25A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FEB3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00A6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CE945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BR0267507ALBENDAZOL, DOSAGEM: 40 MG/ML, SUSPENSÃO ORAL, FRASCO 10,00 ML</w:t>
            </w:r>
          </w:p>
        </w:tc>
      </w:tr>
      <w:tr w:rsidR="00CA69F1" w:rsidRPr="00CA69F1" w14:paraId="47480D2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C370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8734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AE27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3604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BR0267509 ALOPURINOL, DOSAGEM: 300 MG, COMPRIMIDO</w:t>
            </w:r>
          </w:p>
        </w:tc>
      </w:tr>
      <w:tr w:rsidR="00CA69F1" w:rsidRPr="00CA69F1" w14:paraId="05C8AB9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E230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2BFC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3EEE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54A2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BR0267510 AMIODARONA, CONCENTRAÇÃO: 200 MG</w:t>
            </w:r>
          </w:p>
        </w:tc>
      </w:tr>
      <w:tr w:rsidR="00CA69F1" w:rsidRPr="00CA69F1" w14:paraId="6565BE18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B601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196C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28DC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017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BR0267512 AMITRIPTILINA CLORIDRATO, DOSAGEM: 25 MG.</w:t>
            </w:r>
          </w:p>
        </w:tc>
      </w:tr>
      <w:tr w:rsidR="00CA69F1" w:rsidRPr="00CA69F1" w14:paraId="2BFA5E5B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A95C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0E52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5198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7D79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BR0267517 ATENOLOL, DOSAGEM: 50MG. COMPRIMIDO</w:t>
            </w:r>
          </w:p>
        </w:tc>
      </w:tr>
      <w:tr w:rsidR="00CA69F1" w:rsidRPr="00CA69F1" w14:paraId="727E9BE8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282E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4BA7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1A22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65383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BR0267522 CLOMIPRAMINA, DOSAGEM: 25 MG. COMPRIMIDO</w:t>
            </w:r>
          </w:p>
        </w:tc>
      </w:tr>
      <w:tr w:rsidR="00CA69F1" w:rsidRPr="00CA69F1" w14:paraId="07771A3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012E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14ED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9F60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452A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BR0267541 GLICOSE, CONCENTRAÇÃO: 50%, SOLUÇÃO INJETÁVEL - AMPOLA 10 ML</w:t>
            </w:r>
          </w:p>
        </w:tc>
      </w:tr>
      <w:tr w:rsidR="00CA69F1" w:rsidRPr="00CA69F1" w14:paraId="2A1E96D8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5DED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39C2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B46B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572B7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BR0267564 CARVEDILOL, DOSAGEM: 12,5MG. COMPRIMIDO</w:t>
            </w:r>
          </w:p>
        </w:tc>
      </w:tr>
      <w:tr w:rsidR="00CA69F1" w:rsidRPr="00CA69F1" w14:paraId="5572F69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DB76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2E46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2385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160D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BR0267565 CARVEDILOL, DOSAGEM: 6,25MG. COMPRIMIDO</w:t>
            </w:r>
          </w:p>
        </w:tc>
      </w:tr>
      <w:tr w:rsidR="00CA69F1" w:rsidRPr="00CA69F1" w14:paraId="54C5C0A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BFC0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FFF8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A518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9B6E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BR0267566 CARVEDILOL, DOSAGEM: 3,125MG. COMPRIMIDO</w:t>
            </w:r>
          </w:p>
        </w:tc>
      </w:tr>
      <w:tr w:rsidR="00CA69F1" w:rsidRPr="00CA69F1" w14:paraId="424B4BF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D6E0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32A2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5270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4A54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BR0267567 CARVEDILOL, DOSAGEM: 25 MG. COMPRIMIDO</w:t>
            </w:r>
          </w:p>
        </w:tc>
      </w:tr>
      <w:tr w:rsidR="00CA69F1" w:rsidRPr="00CA69F1" w14:paraId="1877D03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EE9B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93C9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4E2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A5A0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BR0267581 BECLOMETASONA DIPROPIONATO, CONCENTRAÇÃO: 250MCG/DOSE, SPRAY ORAL, FRASCO DOSEADOR COM BOCAL AEROGADOR. FRASCO 200 DOSES</w:t>
            </w:r>
          </w:p>
        </w:tc>
      </w:tr>
      <w:tr w:rsidR="00CA69F1" w:rsidRPr="00CA69F1" w14:paraId="7BAFE5A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B360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3996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10AD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9AEB2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BR0267582 BECLOMETASONA DIPROPIONATO, </w:t>
            </w: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lastRenderedPageBreak/>
              <w:t>CONCENTRAÇÃO: 50MCG/DOSE, SPRAY NASAL, FRASCO DOSEADOR COM AEROGADOR NASAL. FRASCO 200 DOSES</w:t>
            </w:r>
          </w:p>
        </w:tc>
      </w:tr>
      <w:tr w:rsidR="00CA69F1" w:rsidRPr="00CA69F1" w14:paraId="14C4004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98B8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AE13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E915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9627B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BR0267613 CAPTOPRIL, DOSAGEM: 25MG. COMPRIMIDO</w:t>
            </w:r>
          </w:p>
        </w:tc>
      </w:tr>
      <w:tr w:rsidR="00CA69F1" w:rsidRPr="00CA69F1" w14:paraId="34B8D4EB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B2D0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A8CA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3B8B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2596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BR0267617 CARBAMAZEPINA, DOSAGEM: 400 MG. COMPRIMIDO</w:t>
            </w:r>
          </w:p>
        </w:tc>
      </w:tr>
      <w:tr w:rsidR="00CA69F1" w:rsidRPr="00CA69F1" w14:paraId="65316D3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D04A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46D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3A87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198D8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BR0267618 CARBAMAZEPINA, DOSAGEM: 200MG. COMPRIMIDO</w:t>
            </w:r>
          </w:p>
        </w:tc>
      </w:tr>
      <w:tr w:rsidR="00CA69F1" w:rsidRPr="00CA69F1" w14:paraId="26EF1AD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87DA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A186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64CD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E4A24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BR0267621 CARBONATO DE LÍTIO, DOSAGEM: 300MG. COMPRIMIDO</w:t>
            </w:r>
          </w:p>
        </w:tc>
      </w:tr>
      <w:tr w:rsidR="00CA69F1" w:rsidRPr="00CA69F1" w14:paraId="2748D72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5D38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0633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C17C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96AB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BR0267625 CEFALEXINA, DOSAGEM: 500 MG. COMPRIMIDO</w:t>
            </w:r>
          </w:p>
        </w:tc>
      </w:tr>
      <w:tr w:rsidR="00CA69F1" w:rsidRPr="00CA69F1" w14:paraId="723FB2B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262A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0AEE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30A9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3CEA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BR0267632 CIPROFLOXACINO CLORIDRATO, DOSAGEM: 500 MG, COMPRIMIDO</w:t>
            </w:r>
          </w:p>
        </w:tc>
      </w:tr>
      <w:tr w:rsidR="00CA69F1" w:rsidRPr="00CA69F1" w14:paraId="4271883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85B9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F925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DFA9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20975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BR0267635 CLORPROMAZINA, DOSAGEM: 25MG. COMPRIMIDO</w:t>
            </w:r>
          </w:p>
        </w:tc>
      </w:tr>
      <w:tr w:rsidR="00CA69F1" w:rsidRPr="00CA69F1" w14:paraId="0F820B4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4C25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405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43C2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53369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BR0267638 CLORPROMAZINA, DOSAGEM: 100MG. COMPRIMIDO</w:t>
            </w:r>
          </w:p>
        </w:tc>
      </w:tr>
      <w:tr w:rsidR="00CA69F1" w:rsidRPr="00CA69F1" w14:paraId="371C2C7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85FB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DBC8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6BCA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BIS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D159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BR0267643 DEXAMETASONA, DOSAGEM: 0,1%, APRESENTAÇÃO CREME. BISNAGA 10 G</w:t>
            </w:r>
          </w:p>
        </w:tc>
      </w:tr>
      <w:tr w:rsidR="00CA69F1" w:rsidRPr="00CA69F1" w14:paraId="393497A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2584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1521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816D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72E6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BR0267645 DEXCLORFENIRAMINA MALEATO, CONCENTRAÇÃO: 2 MG</w:t>
            </w:r>
          </w:p>
        </w:tc>
      </w:tr>
      <w:tr w:rsidR="00CA69F1" w:rsidRPr="00CA69F1" w14:paraId="29E9D302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AC10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F25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95BD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5A438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BR0267646 DEXCLORFENIRAMINA MALEATO, 0,4 MG/ML, SOLUÇÃO ORAL 120 ML</w:t>
            </w:r>
          </w:p>
        </w:tc>
      </w:tr>
      <w:tr w:rsidR="00CA69F1" w:rsidRPr="00CA69F1" w14:paraId="4884EE7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0C55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ED39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780B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31120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BR0267647 DIGOXINA, CONCENTRAÇÃO: 0,25 MG. COMPRIMIDO</w:t>
            </w:r>
          </w:p>
        </w:tc>
      </w:tr>
      <w:tr w:rsidR="00CA69F1" w:rsidRPr="00CA69F1" w14:paraId="1ACAC78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E009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A3A4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AE5A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F70F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BR0267650 ENALAPRIL MALEATO, DOSAGEM: 5MG. COMPRIMIDO</w:t>
            </w:r>
          </w:p>
        </w:tc>
      </w:tr>
      <w:tr w:rsidR="00CA69F1" w:rsidRPr="00CA69F1" w14:paraId="0DB2D150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6428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38B9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DEEA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94041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BR0267651 ENALAPRIL MALEATO, DOSAGEM: 10MG. COMPRIMIDO</w:t>
            </w:r>
          </w:p>
        </w:tc>
      </w:tr>
      <w:tr w:rsidR="00CA69F1" w:rsidRPr="00CA69F1" w14:paraId="163D2D12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4996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E6FE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8603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0E425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BR0267652 ENALAPRIL MALEATO, DOSAGEM: 20MG. COMPRIMIDO</w:t>
            </w:r>
          </w:p>
        </w:tc>
      </w:tr>
      <w:tr w:rsidR="00CA69F1" w:rsidRPr="00CA69F1" w14:paraId="07F122C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6C5E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3423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088F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2E968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BR0267653 ESPIRONOLACTONA, DOSAGEM: 25MG. COMPRIMIDO</w:t>
            </w:r>
          </w:p>
        </w:tc>
      </w:tr>
      <w:tr w:rsidR="00CA69F1" w:rsidRPr="00CA69F1" w14:paraId="1945156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030F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44E0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3110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11E52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BR0267654 ESPIRONOLACTONA, DOSAGEM: 100 MG, COMPRIMIDO</w:t>
            </w:r>
          </w:p>
        </w:tc>
      </w:tr>
      <w:tr w:rsidR="00CA69F1" w:rsidRPr="00CA69F1" w14:paraId="487D235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282D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2EA1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C639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0713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BR0267657 FENITOÍNA SÓDICA, CONCENTRAÇÃO: 100 MG</w:t>
            </w:r>
          </w:p>
        </w:tc>
      </w:tr>
      <w:tr w:rsidR="00CA69F1" w:rsidRPr="00CA69F1" w14:paraId="1B2DA6D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2A13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FB38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798F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306ED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BR0267660 FENOBARBITAL SÓDICO, CONCENTRAÇÃO: 100 MG. COMPRIMIDO</w:t>
            </w:r>
          </w:p>
        </w:tc>
      </w:tr>
      <w:tr w:rsidR="00CA69F1" w:rsidRPr="00CA69F1" w14:paraId="1B144458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6399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BDAC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5C3D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7C382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BR0267662 FLUCONAZOL, CONCENTRAÇÃO: 150 MG. CAPSULA</w:t>
            </w:r>
          </w:p>
        </w:tc>
      </w:tr>
      <w:tr w:rsidR="00CA69F1" w:rsidRPr="00CA69F1" w14:paraId="088D959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EB00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397A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E4BA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C313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BR0267663 FUROSEMIDA, DOSAGEM: 40MG. COMPRIMIDO</w:t>
            </w:r>
          </w:p>
        </w:tc>
      </w:tr>
      <w:tr w:rsidR="00CA69F1" w:rsidRPr="00CA69F1" w14:paraId="45CD4D1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03B4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E53C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0DC5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2211F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BR0267666 FUROSEMIDA, COMPOSIÇÃO: 10 MG/ML, SOLUÇÃO INJETÁVEL - AMPOLA 2 ML</w:t>
            </w:r>
          </w:p>
        </w:tc>
      </w:tr>
      <w:tr w:rsidR="00CA69F1" w:rsidRPr="00CA69F1" w14:paraId="617DE68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4743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AD5D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A892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594F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BR0267669 HALOPERIDOL, DOSAGEM: 5 MG. COMPRIMIDO</w:t>
            </w:r>
          </w:p>
        </w:tc>
      </w:tr>
      <w:tr w:rsidR="00CA69F1" w:rsidRPr="00CA69F1" w14:paraId="63843A7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1465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4897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B735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50F9A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BR0267670 HALOPERIDOL, DOSAGEM: 1 MG, COMPRIMIDO</w:t>
            </w:r>
          </w:p>
        </w:tc>
      </w:tr>
      <w:tr w:rsidR="00CA69F1" w:rsidRPr="00CA69F1" w14:paraId="037B9DE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4F2C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2919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70FE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A4C3D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BR0267671 GLIBENCLAMIDA, DOSAGEM:  5 MG, COMPRIMIDO</w:t>
            </w:r>
          </w:p>
        </w:tc>
      </w:tr>
      <w:tr w:rsidR="00CA69F1" w:rsidRPr="00CA69F1" w14:paraId="3CA71E2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53CF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FF93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7882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C7E3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BR0267674 HIDROCLOROTIAZIDA, DOSAGEM: 25MG. COMPRIMIDO</w:t>
            </w:r>
          </w:p>
        </w:tc>
      </w:tr>
      <w:tr w:rsidR="00CA69F1" w:rsidRPr="00CA69F1" w14:paraId="03F1892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C1A4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8EF6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54BE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E0F66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BR0267676 IBUPROFENO, DOSAGEM: 600MG. COMPRIMIDO</w:t>
            </w:r>
          </w:p>
        </w:tc>
      </w:tr>
      <w:tr w:rsidR="00CA69F1" w:rsidRPr="00CA69F1" w14:paraId="60D577E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799D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5FD4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1CE9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FCCED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BR0267689 METILDOPA, CONCENTRAÇÃO: 250 MG. COMPRIMIDO</w:t>
            </w:r>
          </w:p>
        </w:tc>
      </w:tr>
      <w:tr w:rsidR="00CA69F1" w:rsidRPr="00CA69F1" w14:paraId="536DE8F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6215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A4F4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FA7F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746B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BR0267690 METFORMINA CLORIDRATO, DOSAGEM: 500MG. COMPRIMIDO</w:t>
            </w:r>
          </w:p>
        </w:tc>
      </w:tr>
      <w:tr w:rsidR="00CA69F1" w:rsidRPr="00CA69F1" w14:paraId="664411A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F192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3F92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B2CA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05CA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BR0267691 METFORMINA CLORIDRATO, DOSAGEM: 850MG. COMPRIMIDO</w:t>
            </w:r>
          </w:p>
        </w:tc>
      </w:tr>
      <w:tr w:rsidR="00CA69F1" w:rsidRPr="00CA69F1" w14:paraId="57329D6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592C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C99B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2990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5E301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BR0267712 OMEPRAZOL, CONCENTRAÇÃO: 20MG. CÁPSULA</w:t>
            </w:r>
          </w:p>
        </w:tc>
      </w:tr>
      <w:tr w:rsidR="00CA69F1" w:rsidRPr="00CA69F1" w14:paraId="2250A1C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DD5A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B5CD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460E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6EA8B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BR0267717 METRONIDAZOL, CONCENTRAÇÃOM: 250 MG. COMPRIMIDO</w:t>
            </w:r>
          </w:p>
        </w:tc>
      </w:tr>
      <w:tr w:rsidR="00CA69F1" w:rsidRPr="00CA69F1" w14:paraId="3683A8C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BFE0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C3F9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115F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3A953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BR0267741 PREDNISONA, DOSAGEM: 5 MG, COMPRIMIDO</w:t>
            </w:r>
          </w:p>
        </w:tc>
      </w:tr>
      <w:tr w:rsidR="00CA69F1" w:rsidRPr="00CA69F1" w14:paraId="5BD0A0B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E82A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8236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215E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4A2E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BR0267743 PREDNISONA, DOSAGEM: 20 MG, COMPRIMIDO</w:t>
            </w:r>
          </w:p>
        </w:tc>
      </w:tr>
      <w:tr w:rsidR="00CA69F1" w:rsidRPr="00CA69F1" w14:paraId="7F51133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1D2A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A885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E26D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4AB6C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BR0267745 SINVASTATINA 40MG, DOSAGEM: 40MG. COMPRIMIDO</w:t>
            </w:r>
          </w:p>
        </w:tc>
      </w:tr>
      <w:tr w:rsidR="00CA69F1" w:rsidRPr="00CA69F1" w14:paraId="45C95A9B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C168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90D3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BC39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CAA1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BR0267747 SINVASTATINA 20MG, DOSAGEM: 20MG. COMPRIMIDO</w:t>
            </w:r>
          </w:p>
        </w:tc>
      </w:tr>
      <w:tr w:rsidR="00CA69F1" w:rsidRPr="00CA69F1" w14:paraId="6C7C1BEB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5B72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lastRenderedPageBreak/>
              <w:t>68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08B5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E749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21CB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BR0267768 PROMETAZINA CLORIDRATO, CONCENTRAÇÃO: 25 MG. COMPRIMIDO</w:t>
            </w:r>
          </w:p>
        </w:tc>
      </w:tr>
      <w:tr w:rsidR="00CA69F1" w:rsidRPr="00CA69F1" w14:paraId="6BFFF071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808E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A233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5CFB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9E68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BR0267769 PROMETAZINA CLORIDRATO, DOSAGEM: 25 MG/ML, SOLUÇÃO INJETÁVEL. AMPOLA 2 ML</w:t>
            </w:r>
          </w:p>
        </w:tc>
      </w:tr>
      <w:tr w:rsidR="00CA69F1" w:rsidRPr="00CA69F1" w14:paraId="0A290DC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8182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2BE9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5C84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1DC9B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BR0267772 PROPRANOLOL CLORIDRATO, CONCENTRAÇÃO: 40 MG. COMPRIMIDO</w:t>
            </w:r>
          </w:p>
        </w:tc>
      </w:tr>
      <w:tr w:rsidR="00CA69F1" w:rsidRPr="00CA69F1" w14:paraId="2095688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2AC0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DE0A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15B2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22515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BR0267777 PARACETAMOL, DOSAGEM SOLUÇÃO ORAL 200 MG/ML, SOLUÇÃO ORAL 15 ML</w:t>
            </w:r>
          </w:p>
        </w:tc>
      </w:tr>
      <w:tr w:rsidR="00CA69F1" w:rsidRPr="00CA69F1" w14:paraId="3585800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7CAF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29AA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4F87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C3B8E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BR0267778 PARACETAMOL, CONCENTRAÇÃO: 500 MG. COMPRIMIDO</w:t>
            </w:r>
          </w:p>
        </w:tc>
      </w:tr>
      <w:tr w:rsidR="00CA69F1" w:rsidRPr="00CA69F1" w14:paraId="67AD796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CF39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9D56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C995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D4E0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BR0268069 CLORPROMAZINA, DOSAGEM: 5 MG/ML, SOLUÇÃO INJETÁVEL. AMPOLA 5 ML</w:t>
            </w:r>
          </w:p>
        </w:tc>
      </w:tr>
      <w:tr w:rsidR="00CA69F1" w:rsidRPr="00CA69F1" w14:paraId="3B4DDA3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7511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DBB2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2FB4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DA5C9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BR0268075 SULFATO DE MAGNÉSIO, CONCENTRAÇÃO: 50%, SOLUÇÃO INJETÁVEL. AMPOLA 10 ML</w:t>
            </w:r>
          </w:p>
        </w:tc>
      </w:tr>
      <w:tr w:rsidR="00CA69F1" w:rsidRPr="00CA69F1" w14:paraId="3046663B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8A9A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0237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D328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7EB30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BR0268123 LEVOTIROXINA SÓDICA, DOSAGEM: 50MCG. COMPRIMIDO</w:t>
            </w:r>
          </w:p>
        </w:tc>
      </w:tr>
      <w:tr w:rsidR="00CA69F1" w:rsidRPr="00CA69F1" w14:paraId="42485FC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CBE7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3138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0DC0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35BE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BR0268124 LEVOTIROXINA SÓDICA, DOSAGEM: 25MCG. COMPRIMIDO</w:t>
            </w:r>
          </w:p>
        </w:tc>
      </w:tr>
      <w:tr w:rsidR="00CA69F1" w:rsidRPr="00CA69F1" w14:paraId="73465468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F90D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4546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60A2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FF6A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BR0268125 LEVOTIROXINA SÓDICA, DOSAGEM: 100MCG. COMPRIMIDO</w:t>
            </w:r>
          </w:p>
        </w:tc>
      </w:tr>
      <w:tr w:rsidR="00CA69F1" w:rsidRPr="00CA69F1" w14:paraId="4EF9D81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0FDE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8BAB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FE2C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BIS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D015B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BR0268162 MICONAZOL, DOSAGEM: 2%, CREME VAGINAL, BISNAGA 80 G</w:t>
            </w:r>
          </w:p>
        </w:tc>
      </w:tr>
      <w:tr w:rsidR="00CA69F1" w:rsidRPr="00CA69F1" w14:paraId="2D6D512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4215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F831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4A83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68C9E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BR0268225 CARBONATO DE CÁLCIO, DOSAGEM: 500 MG. COMPRIMIDO</w:t>
            </w:r>
          </w:p>
        </w:tc>
      </w:tr>
      <w:tr w:rsidR="00CA69F1" w:rsidRPr="00CA69F1" w14:paraId="08B2A40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02C0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4D11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752E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BOL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1E92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BR0268236 CLORETO DE SÓDIO 0,9%, SOLUÇÃO INJETÁVEL, SISTEMA FECHADO - BOLSA 1000 ML</w:t>
            </w:r>
          </w:p>
        </w:tc>
      </w:tr>
      <w:tr w:rsidR="00CA69F1" w:rsidRPr="00CA69F1" w14:paraId="73951B60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B63F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759F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25083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BOL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82E3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BR0268236 CLORETO DE SÓDIO 0,9%, SOLUÇÃO INJETÁVEL, SISTEMA FECHADO – BOLSA 100 ML</w:t>
            </w:r>
          </w:p>
        </w:tc>
      </w:tr>
      <w:tr w:rsidR="00CA69F1" w:rsidRPr="00CA69F1" w14:paraId="4AF3845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814B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F2DB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95D4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BOL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708B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BR0268236 CLORETO DE SÓDIO 0,9%, SOLUÇÃO INJETÁVEL, SISTEMA FECHADO - BOLSA 250 ML</w:t>
            </w:r>
          </w:p>
        </w:tc>
      </w:tr>
      <w:tr w:rsidR="00CA69F1" w:rsidRPr="00CA69F1" w14:paraId="3ABA76B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8397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292B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2EE0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BOL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1D522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BR0268236 CLORETO DE SÓDIO 0,9%, SOLUÇÃO INJETÁVEL, SISTEMA FECHADO - BOLSA 500 ML</w:t>
            </w:r>
          </w:p>
        </w:tc>
      </w:tr>
      <w:tr w:rsidR="00CA69F1" w:rsidRPr="00CA69F1" w14:paraId="1A98D70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8D32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A1B86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EA3A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9B59B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BR0268236 CLORETO DE SÓDIO 0,9%, SOLUÇÃO INJETÁVEL, SISTEMA FECHADO - FRASCO 1000 ML</w:t>
            </w:r>
          </w:p>
        </w:tc>
      </w:tr>
      <w:tr w:rsidR="00CA69F1" w:rsidRPr="00CA69F1" w14:paraId="2DBE8DA1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DC13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B4CFB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4EA9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64B0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BR0268236 CLORETO DE SÓDIO 0,9%, SOLUÇÃO INJETÁVEL, SISTEMA FECHADO - FRASCO 100 ML</w:t>
            </w:r>
          </w:p>
        </w:tc>
      </w:tr>
      <w:tr w:rsidR="00CA69F1" w:rsidRPr="00CA69F1" w14:paraId="7DCB4CB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C1D3A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9F557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5D81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876D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BR0268236 CLORETO DE SÓDIO 0,9%, SOLUÇÃO INJETÁVEL, SISTEMA FECHADO - FRASCO 250 ML</w:t>
            </w:r>
          </w:p>
        </w:tc>
      </w:tr>
      <w:tr w:rsidR="00CA69F1" w:rsidRPr="00CA69F1" w14:paraId="2FE21E2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B0CCD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70C49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F1115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0DD2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BR0268236 CLORETO DE SÓDIO 0,9%, SOLUÇÃO INJETÁVEL, SISTEMA FECHADO - FRASCO 500 ML</w:t>
            </w:r>
          </w:p>
        </w:tc>
      </w:tr>
      <w:tr w:rsidR="00CA69F1" w:rsidRPr="00CA69F1" w14:paraId="78B0E0C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BE1D1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2B70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3CEB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F5B5D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BR0268237 CLORETO DE SÓDIO 0,9%, SOLUÇÃO INJETÁVEL, FRASCO COM ABERTURA TWIST OFF. AMPOLA 10ML</w:t>
            </w:r>
          </w:p>
        </w:tc>
      </w:tr>
      <w:tr w:rsidR="00CA69F1" w:rsidRPr="00CA69F1" w14:paraId="2BC0CE2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C95B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7D8A8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F7CB2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A66E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BR0268252 DIPIRONA SÓDICA, DOSAGEM: 500 MG/ML, SOLUÇÃO INJETÁVEL. AMPOLA 2 ML</w:t>
            </w:r>
          </w:p>
        </w:tc>
      </w:tr>
      <w:tr w:rsidR="00CA69F1" w:rsidRPr="00CA69F1" w14:paraId="0305DB6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0D814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E360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C992C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D78C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BR0268255 EPINEFRINA, DOSAGEM: 1MG/ML, SOLUÇÃO INJETÁVEL - AMPOLA 1 ML</w:t>
            </w:r>
          </w:p>
        </w:tc>
      </w:tr>
      <w:tr w:rsidR="00CA69F1" w:rsidRPr="00CA69F1" w14:paraId="22F10BE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FEAAF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B03FE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51A40" w14:textId="77777777" w:rsidR="00CA69F1" w:rsidRPr="00CA69F1" w:rsidRDefault="00CA69F1" w:rsidP="00CA69F1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CEBDC" w14:textId="77777777" w:rsidR="00CA69F1" w:rsidRPr="00CA69F1" w:rsidRDefault="00CA69F1" w:rsidP="00CA69F1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BR0268273 NITROFURANTOÍNA, DOSAGEM: 100 MG, CÁPSULA</w:t>
            </w:r>
          </w:p>
        </w:tc>
      </w:tr>
      <w:tr w:rsidR="00B2090B" w:rsidRPr="00CA69F1" w14:paraId="5976B7A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23A2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D4AC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A63A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BIS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DA95A" w14:textId="0E3AB22C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B2090B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BR0268286 MICONAZOL, CONCENTRAÇÃO: 20 MG/G, CREME DERMATOLÓGICO, BISNAGA DE 80 G</w:t>
            </w:r>
          </w:p>
        </w:tc>
      </w:tr>
      <w:tr w:rsidR="00B2090B" w:rsidRPr="00CA69F1" w14:paraId="6D5897B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FCF2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B6E2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CA2B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BC95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BR0268331 IPRATRÓPIO BROMETO, 0,25 MG/ML, SOLUÇÃO PARA INALAÇÃO. FRASCO 20ML</w:t>
            </w:r>
          </w:p>
        </w:tc>
      </w:tr>
      <w:tr w:rsidR="00B2090B" w:rsidRPr="00CA69F1" w14:paraId="05D5E6C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A09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DB6B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sz w:val="16"/>
                <w:szCs w:val="16"/>
              </w:rPr>
              <w:t>4.000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7800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FF9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BR0268370 ACICLOVIR, DOSAGEM: 200MG. COMPRIMIDO</w:t>
            </w:r>
          </w:p>
        </w:tc>
      </w:tr>
      <w:tr w:rsidR="00B2090B" w:rsidRPr="00CA69F1" w14:paraId="24DF0D9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42C3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17A2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8C06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BIS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90D46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BR0268375 ACICLOVIR, DOSAGEM: 50 MG/G, CREME - BISNAGA 10 G</w:t>
            </w:r>
          </w:p>
        </w:tc>
      </w:tr>
      <w:tr w:rsidR="00B2090B" w:rsidRPr="00CA69F1" w14:paraId="35554841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87D6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F5FF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22DA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10BF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BR0268439 CLARITROMICINA, DOSAGEM: 500 MG. COMPRIMIDO</w:t>
            </w:r>
          </w:p>
        </w:tc>
      </w:tr>
      <w:tr w:rsidR="00B2090B" w:rsidRPr="00CA69F1" w14:paraId="2AC484F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B4E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6B8F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3655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2946B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BR0268493 DOXAZOSINA, COMPOSIÇÃO: 2 MG, COMPRIMIDO</w:t>
            </w:r>
          </w:p>
        </w:tc>
      </w:tr>
      <w:tr w:rsidR="00B2090B" w:rsidRPr="00CA69F1" w14:paraId="21CA57A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EDFF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3ACF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FB1E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0F3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BR0268856 LOSARTANA POTÁSSICA, DOSAGEM: 50MG. COMPRIMIDO</w:t>
            </w:r>
          </w:p>
        </w:tc>
      </w:tr>
      <w:tr w:rsidR="00B2090B" w:rsidRPr="00CA69F1" w14:paraId="07BE3BB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24A6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C76D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78C1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534FB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BR0268861 ITRACONAZOL, DOSAGEM: 100 MG, CÁPSULA</w:t>
            </w:r>
          </w:p>
        </w:tc>
      </w:tr>
      <w:tr w:rsidR="00B2090B" w:rsidRPr="00CA69F1" w14:paraId="008F226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53CE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E8C4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8BDF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6082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BR0268949 AZITROMICINA, 40 MG/ML, SUSPENSÃO ORAL. </w:t>
            </w: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lastRenderedPageBreak/>
              <w:t>FRASCO 15 ML</w:t>
            </w:r>
          </w:p>
        </w:tc>
      </w:tr>
      <w:tr w:rsidR="00B2090B" w:rsidRPr="00CA69F1" w14:paraId="2337FC42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7DF0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lastRenderedPageBreak/>
              <w:t>101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4C57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795F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039D9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BR0268960 DOPAMINA, DOSAGEM: 5 MG/ML, SOLUÇÃO INJETÁVEL. AMPOLA 10 ML</w:t>
            </w:r>
          </w:p>
        </w:tc>
      </w:tr>
      <w:tr w:rsidR="00B2090B" w:rsidRPr="00CA69F1" w14:paraId="07EF03E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5379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1B81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016A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11B3E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BR0269388 DEXAMETASONA, DOSAGEM: 4 MG, COMPRIMIDO</w:t>
            </w:r>
          </w:p>
        </w:tc>
      </w:tr>
      <w:tr w:rsidR="00B2090B" w:rsidRPr="00CA69F1" w14:paraId="1356245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64BD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9B3B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E16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314EA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BR0269462 ALENDRONATO DE SÓDIO; DOSAGEM: 70MG. COMPRIMIDO</w:t>
            </w:r>
          </w:p>
        </w:tc>
      </w:tr>
      <w:tr w:rsidR="00B2090B" w:rsidRPr="00CA69F1" w14:paraId="671E18F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D9E9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AA19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4D17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1534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BR0269843 LIDOCAÍNA CLORIDRATO, DOSAGEM: 2%, INJETÁVEL. AMPOLA 5ML</w:t>
            </w:r>
          </w:p>
        </w:tc>
      </w:tr>
      <w:tr w:rsidR="00B2090B" w:rsidRPr="00CA69F1" w14:paraId="1937CFF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1D5D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46AF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8A73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3A14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BR0269845 LIDOCAÍNA CLORIDRATO, DOSAGEM: 10%, SPRAY. FRASCO 50 ML</w:t>
            </w:r>
          </w:p>
        </w:tc>
      </w:tr>
      <w:tr w:rsidR="00B2090B" w:rsidRPr="00CA69F1" w14:paraId="0D8D949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2AB4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257A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981B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BIS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9150" w14:textId="3F0A85E6" w:rsidR="00B2090B" w:rsidRPr="00CA69F1" w:rsidRDefault="00B372F3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B372F3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BR0269846 LIDOCAÍNA CLORIDRATO, CONCENTRAÇÃO: 2%, GELÉIA, BISNAGA DE 30 G</w:t>
            </w:r>
          </w:p>
        </w:tc>
      </w:tr>
      <w:tr w:rsidR="00B2090B" w:rsidRPr="00CA69F1" w14:paraId="3555DDD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B09C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1E5D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C245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8AA5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BR0270092 GLICOSE 5%, SOLUÇÃO INJETÁVEL, SISTEMA FECHADO - FRASCO 1000 ML</w:t>
            </w:r>
          </w:p>
        </w:tc>
      </w:tr>
      <w:tr w:rsidR="00B2090B" w:rsidRPr="00CA69F1" w14:paraId="601E80B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D664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9FA2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E78C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BE5DF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BR0270092 GLICOSE 5%, SOLUÇÃO INJETÁVEL, SISTEMA FECHADO - FRASCO 250 ML</w:t>
            </w:r>
          </w:p>
        </w:tc>
      </w:tr>
      <w:tr w:rsidR="00B2090B" w:rsidRPr="00CA69F1" w14:paraId="2E35ED22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CCB1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9012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sz w:val="16"/>
                <w:szCs w:val="16"/>
              </w:rPr>
              <w:t>250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F464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BOL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73841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BR0270092 GLICOSE 5%, SOLUÇÃO INJETÁVEL, SISTEMA FECHADO - BOLSA 1000 ML</w:t>
            </w:r>
          </w:p>
        </w:tc>
      </w:tr>
      <w:tr w:rsidR="00B2090B" w:rsidRPr="00CA69F1" w14:paraId="3199C4C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6EAD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B605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sz w:val="16"/>
                <w:szCs w:val="16"/>
              </w:rPr>
              <w:t>250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BD29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BOL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63F7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BR0270092 GLICOSE 5%, SOLUÇÃO INJETÁVEL, SISTEMA FECHADO - BOLSA 250 ML</w:t>
            </w:r>
          </w:p>
        </w:tc>
      </w:tr>
      <w:tr w:rsidR="00B2090B" w:rsidRPr="00CA69F1" w14:paraId="7E60A6B0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E31F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0F69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sz w:val="16"/>
                <w:szCs w:val="16"/>
              </w:rPr>
              <w:t>250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057D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BOL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5D4C7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BR0270092 GLICOSE 5%, SOLUÇÃO INJETÁVEL, SISTEMA FECHADO - BOLSA 500 ML</w:t>
            </w:r>
          </w:p>
        </w:tc>
      </w:tr>
      <w:tr w:rsidR="00B2090B" w:rsidRPr="00CA69F1" w14:paraId="14FF0E5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7AA5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DD35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sz w:val="16"/>
                <w:szCs w:val="16"/>
              </w:rPr>
              <w:t>250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1C2B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7C7F7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BR0270092 GLICOSE 5%, SOLUÇÃO INJETÁVEL, SISTEMA FECHADO - FRASCO 500 ML</w:t>
            </w:r>
          </w:p>
        </w:tc>
      </w:tr>
      <w:tr w:rsidR="00B2090B" w:rsidRPr="00CA69F1" w14:paraId="58CC42E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627F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86BC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B6F7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B8BE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BR0270120 CLONAZEPAM, DOSAGEM: 2,5MG/ML, SOLUÇÃO ORAL. FRASCO 20 ML</w:t>
            </w:r>
          </w:p>
        </w:tc>
      </w:tr>
      <w:tr w:rsidR="00B2090B" w:rsidRPr="00CA69F1" w14:paraId="0949D49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FE87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5244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E4B0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04593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BR0270126 LEVODOPA, COMPOSIÇÃO: ASSOCIADO À BENSERAZIDA, CONCENTRAÇÃO: 200 + 50MG. COMPRIMIDO</w:t>
            </w:r>
          </w:p>
        </w:tc>
      </w:tr>
      <w:tr w:rsidR="00B2090B" w:rsidRPr="00CA69F1" w14:paraId="18F1AB5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CB96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1B8D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D569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BF10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BR0270140 BIPERIDENO, DOSAGEM: 2 MG, COMPRIMIDO</w:t>
            </w:r>
          </w:p>
        </w:tc>
      </w:tr>
      <w:tr w:rsidR="00B2090B" w:rsidRPr="00CA69F1" w14:paraId="31FB5621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7236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6682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7A24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9310C" w14:textId="31DBEB54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BR0270597 BETAMETASONA, COMPOSIÇÃO: ACETATO, ASSOCIADA COM BETAMETASONA FOSFATO, DOSAGEM: 3MG + 3MG/ML, USO:</w:t>
            </w:r>
            <w:r w:rsidR="00A72367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  <w:bookmarkStart w:id="3" w:name="_GoBack"/>
            <w:bookmarkEnd w:id="3"/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INJETÁVEL. AMPOLA 1 ML</w:t>
            </w:r>
          </w:p>
        </w:tc>
      </w:tr>
      <w:tr w:rsidR="00B2090B" w:rsidRPr="00CA69F1" w14:paraId="506BA78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3EF6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3295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5C4E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752A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BR0270612 BENZILPENICILINA, BENZATINA, DOSAGEM: 1.200.000UI, INJETÁVEL. FRASCO-AMPOLA</w:t>
            </w:r>
          </w:p>
        </w:tc>
      </w:tr>
      <w:tr w:rsidR="00B2090B" w:rsidRPr="00CA69F1" w14:paraId="7C940D5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67C4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B476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FF5F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AF41F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BR0270613 BENZILPENICILINA, BENZATINA, DOSAGEM: 600.000UI, USO: INJETÁVEL. FRASCO-AMPOLA</w:t>
            </w:r>
          </w:p>
        </w:tc>
      </w:tr>
      <w:tr w:rsidR="00B2090B" w:rsidRPr="00CA69F1" w14:paraId="6E1BC13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1D39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059F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9604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73EA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BR0271089 AMOXICILINA, CONCENTRAÇÃO: 500MG. CÁPSULA</w:t>
            </w:r>
          </w:p>
        </w:tc>
      </w:tr>
      <w:tr w:rsidR="00B2090B" w:rsidRPr="00CA69F1" w14:paraId="1B4E9AAB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FE8F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30E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3564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B08A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BR0271091 AMOXICILINA, PÓ PARA SUSPENSÃO ORAL, CONCENTRAÇÃO: 25MG/ML. FRASCO 150ML</w:t>
            </w:r>
          </w:p>
        </w:tc>
      </w:tr>
      <w:tr w:rsidR="00B2090B" w:rsidRPr="00CA69F1" w14:paraId="7A4CE43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0414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417C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sz w:val="16"/>
                <w:szCs w:val="16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0295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F3D4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BR0271103 CETOCONAZOL, DOSAGEM: 2%, SHAMPOO - FRASCO 100 ML</w:t>
            </w:r>
          </w:p>
        </w:tc>
      </w:tr>
      <w:tr w:rsidR="00B2090B" w:rsidRPr="00CA69F1" w14:paraId="1AB31E9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B971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F9B3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2EC7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7152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BR0271217 AMOXICILINA, ASSOCIADA COM CLAVULANATO DE PÓTASSIO, CONCENTRAÇÃO: 500MG + 125MG. COMPRIMIDO</w:t>
            </w:r>
          </w:p>
        </w:tc>
      </w:tr>
      <w:tr w:rsidR="00B2090B" w:rsidRPr="00CA69F1" w14:paraId="731F399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8A15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1E8A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675E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0936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BR0271600 METILPREDNISOLONA, SAL SUCCINATO, DOSAGEM: 125 MG, PÓ LIOFILIZADO + DILUENTE, INJETÁVEL. FRASCO-AMPOLA</w:t>
            </w:r>
          </w:p>
        </w:tc>
      </w:tr>
      <w:tr w:rsidR="00B2090B" w:rsidRPr="00CA69F1" w14:paraId="768C456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1B2B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30F2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8DC6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2CB7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BR0271606 NORTRIPTILINA CLORIDRATO, CONCENTRAÇÃO: 25 MG</w:t>
            </w:r>
          </w:p>
        </w:tc>
      </w:tr>
      <w:tr w:rsidR="00B2090B" w:rsidRPr="00CA69F1" w14:paraId="0D99042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EF02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01ED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C4F7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13988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BR0271607 NORTRIPTILINA CLORIDRATO, CONCENTRAÇÃO: 75 MG</w:t>
            </w:r>
          </w:p>
        </w:tc>
      </w:tr>
      <w:tr w:rsidR="00B2090B" w:rsidRPr="00CA69F1" w14:paraId="4F17DFA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2103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5981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9E4A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E390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BR0271709 AMIODARONA, CONCENTRAÇÃO: 100MG, INJETÁVEL. AMPOLA 3 ML</w:t>
            </w:r>
          </w:p>
        </w:tc>
      </w:tr>
      <w:tr w:rsidR="00B2090B" w:rsidRPr="00CA69F1" w14:paraId="251CA9F1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D044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A117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D4E8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BIS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AA9A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BR0272089 SULFADIAZINA, DOSAGEM: 1%, CREME, PRINCÍPIO ATIVO: DE PRATA, BISNAGA 30,00 G</w:t>
            </w:r>
          </w:p>
        </w:tc>
      </w:tr>
      <w:tr w:rsidR="00B2090B" w:rsidRPr="00CA69F1" w14:paraId="3E77EB62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04DC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4B33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C42B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1204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BR0272341 TIAMINA, CONCENTRAÇÃO: 300 MG</w:t>
            </w:r>
          </w:p>
        </w:tc>
      </w:tr>
      <w:tr w:rsidR="00B2090B" w:rsidRPr="00CA69F1" w14:paraId="6CF8F0AB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F6D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2EFE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40.000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9E59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A34D1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BR0272434 ANLODIPINO BESILATO; DOSAGEM: 5MG. COMPRIMIDO</w:t>
            </w:r>
          </w:p>
        </w:tc>
      </w:tr>
      <w:tr w:rsidR="00B2090B" w:rsidRPr="00CA69F1" w14:paraId="0358A2B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5C50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5356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E744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9D8B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BR0272454 CARBAMAZEPINA, DOSAGEM: 20 MG/ML, SUSPENSÃO ORAL 100 ML</w:t>
            </w:r>
          </w:p>
        </w:tc>
      </w:tr>
      <w:tr w:rsidR="00B2090B" w:rsidRPr="00CA69F1" w14:paraId="7A523061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7BEF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6799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456C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AMP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1C292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BR0272796 HEPARINA SÓDICA, DOSAGEM: 5.000UI/ML, INJETÁVEL, AMPOLA 0,25 ML</w:t>
            </w:r>
          </w:p>
        </w:tc>
      </w:tr>
      <w:tr w:rsidR="00B2090B" w:rsidRPr="00CA69F1" w14:paraId="1ADB175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6F52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lastRenderedPageBreak/>
              <w:t>132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85D3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70.000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DFF9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25B09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BR0273009 FLUOXETINA, DOSAGEM: 20MG. CÁPSULA</w:t>
            </w:r>
          </w:p>
        </w:tc>
      </w:tr>
      <w:tr w:rsidR="00B2090B" w:rsidRPr="00CA69F1" w14:paraId="4DD57D5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AA7B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FF14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8825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2BD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BR0273395 ISOSSORBIDA, SAL DINITRATO, DOSAGEM: 5MG, SUBLINGUAL. COMPRIMIDO</w:t>
            </w:r>
          </w:p>
        </w:tc>
      </w:tr>
      <w:tr w:rsidR="00B2090B" w:rsidRPr="00CA69F1" w14:paraId="5C0B4D2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6A4D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F6A7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4D35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7918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BR0273400 ISSOSSORBIDA, SAL MONONITRATO, DOSAGEM: 20 MG. COMPRIMIDO</w:t>
            </w:r>
          </w:p>
        </w:tc>
      </w:tr>
      <w:tr w:rsidR="00B2090B" w:rsidRPr="00CA69F1" w14:paraId="198DD95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CD82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CD5A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CB20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6418E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BR0273467 LORATADINA, CONCENTRAÇÃO: 1MG/ML, XAROPE. FRASCO 100 ML</w:t>
            </w:r>
          </w:p>
        </w:tc>
      </w:tr>
      <w:tr w:rsidR="00B2090B" w:rsidRPr="00CA69F1" w14:paraId="3FEB1F5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71ED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7083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2948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A629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BR0275963 FINASTERIDA, CONCENTRAÇÃO: 5 MG, COMPRIMIDO</w:t>
            </w:r>
          </w:p>
        </w:tc>
      </w:tr>
      <w:tr w:rsidR="00B2090B" w:rsidRPr="00CA69F1" w14:paraId="5841ADB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DA85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FEEB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6C06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C692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BR0276333 AMITRIPTILINA CLORIDRATO, DOSAGEM: 75 MG</w:t>
            </w:r>
          </w:p>
        </w:tc>
      </w:tr>
      <w:tr w:rsidR="00B2090B" w:rsidRPr="00CA69F1" w14:paraId="1612662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3690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0256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8AD2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86472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BR0276657 METOPROLOL, SAL SUCCINATO, DOSAGEM: 50 MG, LIBERAÇÃO CONTROLADA, COMPRIMIDO</w:t>
            </w:r>
          </w:p>
        </w:tc>
      </w:tr>
      <w:tr w:rsidR="00B2090B" w:rsidRPr="00CA69F1" w14:paraId="3D9C961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66A1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0F8D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6BC3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B7E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BR0292194 HALOPERIDOL, SAL DECANOATO, CONCENTRAÇÃO: 50 MG/ML. SOLUÇÃO INJETÁVEL. AMPOLA 1ML</w:t>
            </w:r>
          </w:p>
        </w:tc>
      </w:tr>
      <w:tr w:rsidR="00B2090B" w:rsidRPr="00CA69F1" w14:paraId="35AFEAA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7343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B1AD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1836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B8D7F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BR0292195 HALOPERIDOL, CONCENTRAÇÃO: 2 MG/ML, SOLUÇÃO ORAL - GOTAS, FRASCO 30,00 ML</w:t>
            </w:r>
          </w:p>
        </w:tc>
      </w:tr>
      <w:tr w:rsidR="00B2090B" w:rsidRPr="00CA69F1" w14:paraId="4B79F3C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9ADE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181B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8FFB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649C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BR0292196 HALOPERIDOL, CONCENTRAÇÃO: 5 MG/ML, SOLUÇÃO INJETÁVEL. AMPOLA 1 ML</w:t>
            </w:r>
          </w:p>
        </w:tc>
      </w:tr>
      <w:tr w:rsidR="00B2090B" w:rsidRPr="00CA69F1" w14:paraId="018A7F6C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AA70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6DA8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9B00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C21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BR0292344 SULFATO FERROSO, 40MG DE FERRO II. COMPRIMIDO</w:t>
            </w:r>
          </w:p>
        </w:tc>
      </w:tr>
      <w:tr w:rsidR="00B2090B" w:rsidRPr="00CA69F1" w14:paraId="62FF6328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6FE2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095D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1AB4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AFF6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BR0292345 SULFATO FERROSO, DOSAGEM FERRO: 25MG/ML DE FERRO II, SOLUÇÃO ORAL - GOTAS. FRASCO 30 ML</w:t>
            </w:r>
          </w:p>
        </w:tc>
      </w:tr>
      <w:tr w:rsidR="00B2090B" w:rsidRPr="00CA69F1" w14:paraId="6CCA6FB2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BD9D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1AF1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66A4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91C96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BR0292427 DEXAMETASONA, DOSAGEM: 4 MG/ML, SOLUÇÃO INJETÁVEL. AMPOLA 2,5 ML</w:t>
            </w:r>
          </w:p>
        </w:tc>
      </w:tr>
      <w:tr w:rsidR="00B2090B" w:rsidRPr="00CA69F1" w14:paraId="512B2A7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EB4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D3CE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5984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E832D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BR0294643 IBUPROFENO, DOSAGEM: 50 MG/ML, SUSPENSÃO ORAL. FRASCO 30 ML</w:t>
            </w:r>
          </w:p>
        </w:tc>
      </w:tr>
      <w:tr w:rsidR="00B2090B" w:rsidRPr="00CA69F1" w14:paraId="2C8175B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8FE4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EFA7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AEAC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325A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BR0294887 SALBUTAMOL, DOSAGEM: 100MCG/DOSE, AEROSSOL ORAL. 200 DOSES</w:t>
            </w:r>
          </w:p>
        </w:tc>
      </w:tr>
      <w:tr w:rsidR="00B2090B" w:rsidRPr="00CA69F1" w14:paraId="0686371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EEC1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30D2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DA92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185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BR0300725 FENOBARBITAL SÓDICO, DOSAGEM: 100 MG/ML, SOLUÇÃO INJETÁVEL. AMPOLA 2ML EV/IM</w:t>
            </w:r>
          </w:p>
        </w:tc>
      </w:tr>
      <w:tr w:rsidR="00B2090B" w:rsidRPr="00CA69F1" w14:paraId="04604A1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B897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5E24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709F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6E3F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BR0303292 RINGER, ASSOCIADO COM LACTATO DE SÓDIO, SOLUÇÃO INJETÁVEL, SISTEMA FECHADO - FRASCO 500 ML</w:t>
            </w:r>
          </w:p>
        </w:tc>
      </w:tr>
      <w:tr w:rsidR="00B2090B" w:rsidRPr="00CA69F1" w14:paraId="08E7F84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7411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8654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0F8B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BOL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E56B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BR0303292 RINGER, ASSOCIADO COM LACTATO DE SÓDIO, SOLUÇÃO INJETÁVEL, SISTEMA FECHADO - BOLSA 500 ML</w:t>
            </w:r>
          </w:p>
        </w:tc>
      </w:tr>
      <w:tr w:rsidR="00B2090B" w:rsidRPr="00CA69F1" w14:paraId="243034B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CEE1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800C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323F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6B73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BR0304870 MORFINA, SULFATO, CONCENTRAÇÃO: 1MG/ML, SOLUÇÃO INJETÁVEL. AMPOLA 2 ML</w:t>
            </w:r>
          </w:p>
        </w:tc>
      </w:tr>
      <w:tr w:rsidR="00B2090B" w:rsidRPr="00CA69F1" w14:paraId="112FE23E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41C7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5BB7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62FE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7AE8B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BR0305235 EXTRATO MEDICINAL, COMPOSIÇÃO: (ISOFLAVONAS 15MG, SAPONINAS 20,5MG, LECITINA 9MG, CONCENTRAÇÃO: ALFA TOCOFEROL 0,041MG) EM 500 MG, PRINCÍPIO ATIVO: GERMEN DE SOJA</w:t>
            </w:r>
          </w:p>
        </w:tc>
      </w:tr>
      <w:tr w:rsidR="00B2090B" w:rsidRPr="00CA69F1" w14:paraId="7DEC9921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70C8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8BD7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91BA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7A472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BR0305247 LACTULOSE, CONCENTRAÇÃO: 667 MG/ML, SOLUÇÃO ORAL. FRASCO 120ML</w:t>
            </w:r>
          </w:p>
        </w:tc>
      </w:tr>
      <w:tr w:rsidR="00B2090B" w:rsidRPr="00CA69F1" w14:paraId="65BB1679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B809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13FE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58E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DF7A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BR0308732 ÁCIDO VALPRÓICO, DOSAGEM: 50 MG/ML, XAROPE. FRASCO 100ML</w:t>
            </w:r>
          </w:p>
        </w:tc>
      </w:tr>
      <w:tr w:rsidR="00B2090B" w:rsidRPr="00CA69F1" w14:paraId="377A3E4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A00E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1EC7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A95A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3FD8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BR0308882 SULFAMETOXAZOL, COMPOSIÇÃO: ASSOCIADO À TRIMETROPRIMA, CONCENTRAÇÃO: 400MG + 80MG. COMPRIMIDO</w:t>
            </w:r>
          </w:p>
        </w:tc>
      </w:tr>
      <w:tr w:rsidR="00B2090B" w:rsidRPr="00CA69F1" w14:paraId="23F4FD30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4DB2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73B9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59E9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2E4E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BR0308884 SULFAMETOXAZOL, ASSOCIADO À TRIMETROPRIMA, CONCENTRAÇÃO: 40MG + 8MG/ML, SUSPENSÃO ORAL 100 ML</w:t>
            </w:r>
          </w:p>
        </w:tc>
      </w:tr>
      <w:tr w:rsidR="00B2090B" w:rsidRPr="00CA69F1" w14:paraId="7FEF7221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1F0E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BF4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E268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95FDD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BR0340783 HIDRÓXIDO DE ALUMÍNIO, CONCENTRAÇÃO: 61,5 MG/ML, SUSPENSÃO ORAL - FRASCO 150 ML</w:t>
            </w:r>
          </w:p>
        </w:tc>
      </w:tr>
      <w:tr w:rsidR="00B2090B" w:rsidRPr="00CA69F1" w14:paraId="12E5B54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A5BD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1364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BCAA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9354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BR0342132 HIDROCORTISONA, SAL ACETATO, CONCENTRAÇÃO: 500 MG, PÓ LIÓFILO PARA INJETÁVEL. FRASCO-AMPOLA</w:t>
            </w:r>
          </w:p>
        </w:tc>
      </w:tr>
      <w:tr w:rsidR="00B2090B" w:rsidRPr="00CA69F1" w14:paraId="73643DD1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7AA9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79E1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7FC1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FF419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BR0342135 HIDROCORTISONA, SAL ACETATO, CONCENTRAÇÃO: 100 MG, PÓ LIÓFILO PARA INJETÁVEL. FRASCO-AMPOLA</w:t>
            </w:r>
          </w:p>
        </w:tc>
      </w:tr>
      <w:tr w:rsidR="00B2090B" w:rsidRPr="00CA69F1" w14:paraId="0DB16EC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479D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3950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84E6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BIS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3EB95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BR0372335 METRONIDAZOL, CONCENTRAÇÃO: 100 MG/G, GEL VAGINAL, COM APLICADOR, BISNAGA 50,00 G</w:t>
            </w:r>
          </w:p>
        </w:tc>
      </w:tr>
      <w:tr w:rsidR="00B2090B" w:rsidRPr="00CA69F1" w14:paraId="1A63173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36BE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EA1A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C7AE0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2E334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BR0376767 IVERMECTINA, CONCENTRAÇÃO: 6 MG, COMPRIMIDO</w:t>
            </w:r>
          </w:p>
        </w:tc>
      </w:tr>
      <w:tr w:rsidR="00B2090B" w:rsidRPr="00CA69F1" w14:paraId="6F9C46B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F2E5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2904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5121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3B53A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BR0394650 METOPROLOL, SAL TARTARATO, CONCENTRAÇÃO: 100 MG, COMPRIMIDO</w:t>
            </w:r>
          </w:p>
        </w:tc>
      </w:tr>
      <w:tr w:rsidR="00B2090B" w:rsidRPr="00CA69F1" w14:paraId="39E79F5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2A43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3A16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5010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5645B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BR0396076 CARBONATO DE CÁLCIO, COMPOSIÇÃO: </w:t>
            </w: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lastRenderedPageBreak/>
              <w:t>ASSOCIADO COM VITAMINA D3, CONCENTRAÇÃO: 600 MG + 400 UI, COMPRIMIDO</w:t>
            </w:r>
          </w:p>
        </w:tc>
      </w:tr>
      <w:tr w:rsidR="00B2090B" w:rsidRPr="00CA69F1" w14:paraId="28AA80C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9CEB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lastRenderedPageBreak/>
              <w:t>163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BF5B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EEA1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64D91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BR0397280 EXTRATO MEDICINAL, CONCENTRAÇÃO: O,1 ML/ ML, GUACO (MIKANIA GLOMERATA SPRENG.), XAROPE. FRASCO 100ML</w:t>
            </w:r>
          </w:p>
        </w:tc>
      </w:tr>
      <w:tr w:rsidR="00B2090B" w:rsidRPr="00CA69F1" w14:paraId="62FD7A1D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B289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1CC1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FDCB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2EEBC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BR0398689 LEVODOPA, COMPOSIÇÃO: ASSOCIADO À BENSERAZIDA, CONCENTRAÇÃO: 100MG + 25MG, / LIBERAÇÃO PROLONGADA. (REFERENCIA PROLOPA HBS)</w:t>
            </w:r>
          </w:p>
        </w:tc>
      </w:tr>
      <w:tr w:rsidR="00B2090B" w:rsidRPr="00CA69F1" w14:paraId="3C14CD3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296E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3289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9873F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63390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BR0398689 LEVODOPA, COMPOSIÇÃO: ASSOCIADO À BENSERAZIDA, CONCENTRAÇÃO: 100MG + 25 MG (REFERENCIA: PROLOBA BD)</w:t>
            </w:r>
          </w:p>
        </w:tc>
      </w:tr>
      <w:tr w:rsidR="00B2090B" w:rsidRPr="00CA69F1" w14:paraId="2B6440FB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18FC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55BC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8.000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E814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2BCDD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BR0419016 ONDANSETRONA CLORIDRATO, 4 MG, COMPRIMIDO ORO DISPERSÍVEL</w:t>
            </w:r>
          </w:p>
        </w:tc>
      </w:tr>
      <w:tr w:rsidR="00B2090B" w:rsidRPr="00CA69F1" w14:paraId="382F8C8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D96B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C4A9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667B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7753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BR0437160 CLORETO DE SÓDIO, 0,9 %, SOLUÇÃO NASAL. FRASCO 30 ML</w:t>
            </w:r>
          </w:p>
        </w:tc>
      </w:tr>
      <w:tr w:rsidR="00B2090B" w:rsidRPr="00CA69F1" w14:paraId="3A0101B4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028E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D454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6E90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FR-AM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70C56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BR0442701 CEFTRIAXONA SÓDICA, CONCENTRAÇÃO: 1G, PÓ PARA SOLUÇÃO INJETÁVEL INTRAMUSCULAR. FRASCO-AMPOLA</w:t>
            </w:r>
          </w:p>
        </w:tc>
      </w:tr>
      <w:tr w:rsidR="00B2090B" w:rsidRPr="00CA69F1" w14:paraId="03700EB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B34A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FB17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861BE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FR-AM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C0B6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BR0442701 CEFTRIAXONA SÓDICA, CONCENTRAÇÃO: 1G, PÓ PARA SOLUÇÃO INJETÁVEL INTRAVENOSA. FRASCO-AMPOLA</w:t>
            </w:r>
          </w:p>
        </w:tc>
      </w:tr>
      <w:tr w:rsidR="00B2090B" w:rsidRPr="00CA69F1" w14:paraId="7E5CF796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13B0C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340E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CEBF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BEEB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BR0442754 GLICLAZIDA, 30 MG, LIBERAÇÃO PROLONGADA. COMPRIMIDO</w:t>
            </w:r>
          </w:p>
        </w:tc>
      </w:tr>
      <w:tr w:rsidR="00B2090B" w:rsidRPr="00CA69F1" w14:paraId="5AB7CF7A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33AD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6166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6AA1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7F611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BR0442755 GLICLAZIDA, 60 MG, LIBERAÇÃO PROLONGADA. COMPRIMIDO</w:t>
            </w:r>
          </w:p>
        </w:tc>
      </w:tr>
      <w:tr w:rsidR="00B2090B" w:rsidRPr="00CA69F1" w14:paraId="5148394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6B5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5B14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F1EB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ENV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A97E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BR0446105 SAIS PARA REIDRATAÇÃO ORAL, COMPOSIÇÃO: SÓDIO, POTÁSSIO, CLORETO, CITRATO E GLICOSE, CONCENTRAÇÃO: 90 MEQ/L + 20 MEQ/L + 80 MEQ/L + 30 MEQ/L + 111 MMOL/L, PÓ PARA SOLUÇÃO ORAL, ENVELOPE</w:t>
            </w:r>
          </w:p>
        </w:tc>
      </w:tr>
      <w:tr w:rsidR="00B2090B" w:rsidRPr="00CA69F1" w14:paraId="28376E93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9AE2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B272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A996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AE247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BR0448595 PREDNISOLONA, FOSFATO SÓDICO, CONCENTRAÇÃO: 3 MG/ML, SOLUÇÃO ORAL, FRASCO 100,00 ML</w:t>
            </w:r>
          </w:p>
        </w:tc>
      </w:tr>
      <w:tr w:rsidR="00B2090B" w:rsidRPr="00CA69F1" w14:paraId="11A97F2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9BA6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088FD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412B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219F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BR0448841 AMOXICILINA, CONCENTRAÇÃO: 50 MG/ML + 12,5 MG/ML, SUSPENSÃO ORAL, ASSOCIADA COM CLAVULANATO DE POTÁSSIO, FRASCO 100,00 ML</w:t>
            </w:r>
          </w:p>
        </w:tc>
      </w:tr>
      <w:tr w:rsidR="00B2090B" w:rsidRPr="00CA69F1" w14:paraId="57B467D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F72A1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D493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sz w:val="16"/>
                <w:szCs w:val="16"/>
              </w:rPr>
              <w:t>400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E2B02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9A68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BR0452914 BUDESONIDA, CONCENTRAÇÃO: 64MCG/DOSE, SUSPENSÃO SPRAY, FRASCO 120 DOSES</w:t>
            </w:r>
          </w:p>
        </w:tc>
      </w:tr>
      <w:tr w:rsidR="00B2090B" w:rsidRPr="00CA69F1" w14:paraId="3944CA97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077B3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CEAA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25C88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4CE22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BR033155 CEFALEXINA 250 MG SUS FR 100 ML</w:t>
            </w:r>
          </w:p>
        </w:tc>
      </w:tr>
      <w:tr w:rsidR="00B2090B" w:rsidRPr="00CA69F1" w14:paraId="7423A35F" w14:textId="77777777" w:rsidTr="00CA69F1">
        <w:trPr>
          <w:trHeight w:val="21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CCD5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E24D9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8730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26183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BR0300723 FENOBARBITAL GOTAS 40 MG/ML. FRASCO  20 ML</w:t>
            </w:r>
          </w:p>
        </w:tc>
      </w:tr>
      <w:tr w:rsidR="00B2090B" w:rsidRPr="00CA69F1" w14:paraId="71AF5A55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F69FA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1560B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E9CA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C25B5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BR0273467 LORATADINA 10 MG, COMPRIMIDO</w:t>
            </w:r>
          </w:p>
        </w:tc>
      </w:tr>
      <w:tr w:rsidR="00B2090B" w:rsidRPr="00CA69F1" w14:paraId="0D3D471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956F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9B40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BF484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377B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BR0442703 CEFTRIAXONA SÓDICA, CONCENTRAÇÃO: 500MG, PÓ PARA SOLUÇÃO INJETÁVEL. INTRAMUSCULAR. FRASCO-AMPOLA</w:t>
            </w:r>
          </w:p>
        </w:tc>
      </w:tr>
      <w:tr w:rsidR="00B2090B" w:rsidRPr="00CA69F1" w14:paraId="1E5CE3DF" w14:textId="77777777" w:rsidTr="00CA69F1">
        <w:trPr>
          <w:trHeight w:val="20"/>
        </w:trPr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E3726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659D7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46F5" w14:textId="77777777" w:rsidR="00B2090B" w:rsidRPr="00CA69F1" w:rsidRDefault="00B2090B" w:rsidP="00B2090B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COMPR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BD1D0" w14:textId="77777777" w:rsidR="00B2090B" w:rsidRPr="00CA69F1" w:rsidRDefault="00B2090B" w:rsidP="00B2090B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BR0270128 LEVODOPA, CONCENTRAÇÃO: 100MG + 25MG, ASSOCIADO À BENSERAZIDA, </w:t>
            </w:r>
            <w:r w:rsidRPr="00CA69F1">
              <w:rPr>
                <w:rFonts w:ascii="Century Gothic" w:eastAsia="Century Gothic" w:hAnsi="Century Gothic" w:cs="Century Gothic"/>
                <w:sz w:val="16"/>
                <w:szCs w:val="16"/>
              </w:rPr>
              <w:t>APRESENTAÇÃO</w:t>
            </w:r>
            <w:r w:rsidRPr="00CA69F1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: COMPRIMIDOS DISPERSÍVEIS</w:t>
            </w:r>
          </w:p>
        </w:tc>
      </w:tr>
    </w:tbl>
    <w:p w14:paraId="1838C679" w14:textId="77777777" w:rsidR="00CA69F1" w:rsidRDefault="00CA69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</w:rPr>
      </w:pPr>
    </w:p>
    <w:p w14:paraId="77FEAA03" w14:textId="77777777" w:rsidR="00F1541A" w:rsidRDefault="00BE3800">
      <w:pPr>
        <w:pStyle w:val="Ttulo1"/>
        <w:numPr>
          <w:ilvl w:val="0"/>
          <w:numId w:val="1"/>
        </w:numPr>
        <w:jc w:val="both"/>
      </w:pPr>
      <w:r>
        <w:t>LEVANTAMENTO DE MERCADO</w:t>
      </w:r>
    </w:p>
    <w:p w14:paraId="7FCD1BE3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O levantamento de mercado consiste na análise das alternativas disponíveis e na justificativa técnica e econômica da solução escolhida. Considerando as necessidades identificadas neste Estudo Técnico Preliminar, conclui-se que a contratação deverá ser direcionada a empresa especializada cujo ramo de atividade seja compatível com o fornecimento de medicamentos e insumos farmacêuticos, atendendo aos requisitos legais e sanitários exigidos. </w:t>
      </w:r>
    </w:p>
    <w:p w14:paraId="7AB3DBC2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O objeto demandado não é exclusivo nem apresenta complexidade atípica no mercado. Trata-se de produtos de uso comum e de interesse público, com ampla disponibilidade no setor farmacêutico e histórico recorrente de contratações semelhantes por órgãos da administração pública. </w:t>
      </w:r>
    </w:p>
    <w:p w14:paraId="61028AE6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lastRenderedPageBreak/>
        <w:t xml:space="preserve">Entidades governamentais em todas as esferas (federal, estadual e municipal) frequentemente realizam licitações para aquisição de medicamentos, o que evidencia que o mercado fornecedor está familiarizado com esse tipo de contratação e dispõe de capacidade técnica e logística para atendimento da demanda. </w:t>
      </w:r>
    </w:p>
    <w:p w14:paraId="39978946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 aquisição de medicamentos por meio de licitação é um processo regulado e formal, essencial para garantir a transparência, a competitividade, a legalidade e a economicidade na aplicação de recursos públicos. </w:t>
      </w:r>
    </w:p>
    <w:p w14:paraId="057A159B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Dessa forma, a escolha pela realização de processo licitatório para aquisição de medicamentos visa assegurar a seleção da proposta mais vantajosa para a Administração, promovendo o a cesso a produtos que atendam aos padrões de qualidade, eficácia e segurança exigidos pelas normas sanitárias e regulatórias.</w:t>
      </w:r>
    </w:p>
    <w:p w14:paraId="379B8040" w14:textId="77777777" w:rsidR="00F1541A" w:rsidRDefault="00BE3800">
      <w:pPr>
        <w:pStyle w:val="Ttulo1"/>
        <w:numPr>
          <w:ilvl w:val="0"/>
          <w:numId w:val="1"/>
        </w:numPr>
      </w:pPr>
      <w:bookmarkStart w:id="4" w:name="_heading=h.guxp9knwag9e" w:colFirst="0" w:colLast="0"/>
      <w:bookmarkEnd w:id="4"/>
      <w:r>
        <w:t>ESTIMATIVAS DOS VALORES DA CONTRATAÇÃO</w:t>
      </w:r>
    </w:p>
    <w:p w14:paraId="6393DFC7" w14:textId="12CFF8A8" w:rsidR="00F1541A" w:rsidRDefault="00BE3800" w:rsidP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Considerando os preços praticados no mercado, o valor médio global estimado da presente </w:t>
      </w:r>
      <w:r w:rsidRPr="00BE3800">
        <w:rPr>
          <w:rFonts w:ascii="Century Gothic" w:eastAsia="Century Gothic" w:hAnsi="Century Gothic" w:cs="Century Gothic"/>
          <w:color w:val="000000"/>
        </w:rPr>
        <w:t xml:space="preserve">aquisição é de </w:t>
      </w:r>
      <w:r w:rsidRPr="00BE3800">
        <w:rPr>
          <w:rFonts w:ascii="Century Gothic" w:eastAsia="Century Gothic" w:hAnsi="Century Gothic" w:cs="Century Gothic"/>
          <w:b/>
          <w:bCs/>
        </w:rPr>
        <w:t xml:space="preserve">R$ </w:t>
      </w:r>
      <w:r w:rsidR="00CA69F1">
        <w:rPr>
          <w:rFonts w:ascii="Century Gothic" w:eastAsia="Century Gothic" w:hAnsi="Century Gothic" w:cs="Century Gothic"/>
          <w:b/>
          <w:bCs/>
        </w:rPr>
        <w:t>541.175,03</w:t>
      </w:r>
      <w:r w:rsidR="00DD7B3A" w:rsidRPr="00DD7B3A">
        <w:rPr>
          <w:rFonts w:ascii="Century Gothic" w:eastAsia="Century Gothic" w:hAnsi="Century Gothic" w:cs="Century Gothic"/>
          <w:b/>
          <w:bCs/>
        </w:rPr>
        <w:t xml:space="preserve"> </w:t>
      </w:r>
      <w:r w:rsidRPr="00BE3800">
        <w:rPr>
          <w:rFonts w:ascii="Century Gothic" w:eastAsia="Century Gothic" w:hAnsi="Century Gothic" w:cs="Century Gothic"/>
          <w:b/>
          <w:bCs/>
        </w:rPr>
        <w:t>(</w:t>
      </w:r>
      <w:r w:rsidR="00CA69F1">
        <w:rPr>
          <w:rFonts w:ascii="Century Gothic" w:eastAsia="Century Gothic" w:hAnsi="Century Gothic" w:cs="Century Gothic"/>
          <w:b/>
          <w:bCs/>
        </w:rPr>
        <w:t>Quinhentos e quarenta e um mol cento e setenta e cinco reais e três centavos</w:t>
      </w:r>
      <w:r w:rsidRPr="00BE3800">
        <w:rPr>
          <w:rFonts w:ascii="Century Gothic" w:eastAsia="Century Gothic" w:hAnsi="Century Gothic" w:cs="Century Gothic"/>
          <w:b/>
          <w:bCs/>
        </w:rPr>
        <w:t>)</w:t>
      </w:r>
      <w:r w:rsidRPr="00BE3800">
        <w:rPr>
          <w:rFonts w:ascii="Century Gothic" w:eastAsia="Century Gothic" w:hAnsi="Century Gothic" w:cs="Century Gothic"/>
          <w:b/>
          <w:bCs/>
          <w:color w:val="000000"/>
        </w:rPr>
        <w:t xml:space="preserve">. </w:t>
      </w:r>
      <w:r w:rsidRPr="00BE3800">
        <w:rPr>
          <w:rFonts w:ascii="Century Gothic" w:eastAsia="Century Gothic" w:hAnsi="Century Gothic" w:cs="Century Gothic"/>
          <w:color w:val="000000"/>
        </w:rPr>
        <w:t>Neste valor</w:t>
      </w:r>
      <w:r>
        <w:rPr>
          <w:rFonts w:ascii="Century Gothic" w:eastAsia="Century Gothic" w:hAnsi="Century Gothic" w:cs="Century Gothic"/>
          <w:color w:val="000000"/>
        </w:rPr>
        <w:t xml:space="preserve"> estão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3AFCCEE7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O valor acima é meramente estimativo, de forma que os pagamentos devidos à Contratada dependerão dos quantitativos dos serviços fornecidos efetivamente.</w:t>
      </w:r>
    </w:p>
    <w:p w14:paraId="0F9A4631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51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Esta Secretaria realizou consulta de preços para a definição do “Valor Máximo” da contração a plataforma Banco de Preços em Saúde (BPS), considerando-se o estado do Paraná. </w:t>
      </w:r>
    </w:p>
    <w:p w14:paraId="2C838A36" w14:textId="77777777" w:rsidR="00F1541A" w:rsidRDefault="00BE3800">
      <w:pPr>
        <w:pStyle w:val="Ttulo1"/>
        <w:numPr>
          <w:ilvl w:val="0"/>
          <w:numId w:val="1"/>
        </w:numPr>
      </w:pPr>
      <w:bookmarkStart w:id="5" w:name="_heading=h.gqpsv8jchp7m" w:colFirst="0" w:colLast="0"/>
      <w:bookmarkEnd w:id="5"/>
      <w:r>
        <w:t>DESCRIÇÃO DA SOLUÇÃO COMO UM TODO</w:t>
      </w:r>
    </w:p>
    <w:p w14:paraId="4D5A0D3D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 solução proposta para atender à demanda da Secretaria Municipal de Saúde de Lobato – PR consiste na contratação de empresa especializada para o fornecimento de medicamentos e insumos farmacêuticos. </w:t>
      </w:r>
    </w:p>
    <w:p w14:paraId="12BAABEA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Essa contratação visa garantir o fornecimento contínuo e adequado dos medicamentos necessários para: </w:t>
      </w:r>
    </w:p>
    <w:p w14:paraId="1E61DFD0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Atender à dispensação direta à população na Farmácia Básica Municipal; </w:t>
      </w:r>
    </w:p>
    <w:p w14:paraId="2BD4040F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Abastecer o Núcleo Integrado de Saúde para atendimentos de rotina e urgência/emergência. </w:t>
      </w:r>
    </w:p>
    <w:p w14:paraId="7FAC7096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Assegurar a disponibilidade dos medicamentos conforme os protocolos clínicos, diretrizes terapêuticas e a Relação Municipal de Medicamentos Essenciais (REMUME); </w:t>
      </w:r>
    </w:p>
    <w:p w14:paraId="15683317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Promover a racionalização do uso dos recursos públicos, evitando faltas e desperdícios. </w:t>
      </w:r>
    </w:p>
    <w:p w14:paraId="597CB1ED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 escolha pelo Sistema de Registro de Preços permite que a Secretaria realize aquisições conforme a demanda real, sem a obrigatoriedade de compra imediata de todo o quantitativo estimado, favorecendo a gestão eficiente do estoque, o planejamento orçamentário e a adaptação às variações no consumo.</w:t>
      </w:r>
    </w:p>
    <w:p w14:paraId="1FC2B042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Adicionalmente, a contratação contemplará condições rigorosas de qualidade, transporte, armazenamento e prazo de entrega, de acordo com as </w:t>
      </w:r>
      <w:r>
        <w:rPr>
          <w:rFonts w:ascii="Century Gothic" w:eastAsia="Century Gothic" w:hAnsi="Century Gothic" w:cs="Century Gothic"/>
          <w:color w:val="000000"/>
        </w:rPr>
        <w:lastRenderedPageBreak/>
        <w:t xml:space="preserve">normas sanitárias vigentes, garantindo a integridade e segurança dos medicamentos até sua entrega final. </w:t>
      </w:r>
    </w:p>
    <w:p w14:paraId="0AF0A1AE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Essa solução técnica e administrativa está alinhada ao planejamento estratégico da Prefeitura Municipal, às exigências legais e às melhores práticas na gestão da assistência farmacêutica pública. </w:t>
      </w:r>
      <w:r>
        <w:rPr>
          <w:rFonts w:ascii="Century Gothic" w:eastAsia="Century Gothic" w:hAnsi="Century Gothic" w:cs="Century Gothic"/>
          <w:b/>
          <w:bCs/>
          <w:color w:val="000000"/>
        </w:rPr>
        <w:t xml:space="preserve"> </w:t>
      </w:r>
    </w:p>
    <w:p w14:paraId="4C77518C" w14:textId="77777777" w:rsidR="00F1541A" w:rsidRDefault="00BE3800">
      <w:pPr>
        <w:pStyle w:val="Ttulo1"/>
        <w:numPr>
          <w:ilvl w:val="0"/>
          <w:numId w:val="1"/>
        </w:numPr>
      </w:pPr>
      <w:r>
        <w:t>JUSTIFICATIVA PARA PARCELAMENTO OU NÃO DA CONTRATAÇÃO</w:t>
      </w:r>
    </w:p>
    <w:p w14:paraId="4AEBF5AE" w14:textId="247728C6" w:rsidR="00377A53" w:rsidRPr="00377A53" w:rsidRDefault="00377A53" w:rsidP="00377A5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377A53">
        <w:rPr>
          <w:rFonts w:ascii="Century Gothic" w:hAnsi="Century Gothic"/>
        </w:rPr>
        <w:t xml:space="preserve">A contratação será realizada de forma parcelada, com julgamento por </w:t>
      </w:r>
      <w:r w:rsidRPr="00377A53">
        <w:rPr>
          <w:rFonts w:ascii="Century Gothic" w:hAnsi="Century Gothic"/>
          <w:b/>
          <w:bCs/>
        </w:rPr>
        <w:t>ITEM</w:t>
      </w:r>
      <w:r w:rsidRPr="00377A53">
        <w:rPr>
          <w:rFonts w:ascii="Century Gothic" w:hAnsi="Century Gothic"/>
        </w:rPr>
        <w:t>, por meio do Sistema de Registro de Preços, considerando a natureza dos medicamentos e as características do mercado fornecedor.</w:t>
      </w:r>
    </w:p>
    <w:p w14:paraId="0E96E87D" w14:textId="77777777" w:rsidR="00377A53" w:rsidRPr="00377A53" w:rsidRDefault="00377A53" w:rsidP="00377A5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377A53">
        <w:rPr>
          <w:rFonts w:ascii="Century Gothic" w:hAnsi="Century Gothic"/>
        </w:rPr>
        <w:t>O parcelamento do objeto mostra-se técnica e economicamente viável, uma vez que cada medicamento possui especificações próprias, diferentes fabricantes, ampla oferta no mercado e variações de preços, permitindo que empresas fornecedoras participem da licitação apenas dos itens compatíveis com sua capacidade de fornecimento.</w:t>
      </w:r>
    </w:p>
    <w:p w14:paraId="3B333DFE" w14:textId="77777777" w:rsidR="00377A53" w:rsidRPr="00377A53" w:rsidRDefault="00377A53" w:rsidP="00377A5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377A53">
        <w:rPr>
          <w:rFonts w:ascii="Century Gothic" w:hAnsi="Century Gothic"/>
        </w:rPr>
        <w:t>A adoção do julgamento por item amplia a competitividade do certame, favorece a participação de um maior número de licitantes, inclusive microempresas e empresas de pequeno porte quando cabível, e aumenta a probabilidade de obtenção da proposta mais vantajosa para a Administração, em observância aos princípios da isonomia, competitividade, eficiência e economicidade.</w:t>
      </w:r>
    </w:p>
    <w:p w14:paraId="2648E143" w14:textId="77777777" w:rsidR="00377A53" w:rsidRPr="00377A53" w:rsidRDefault="00377A53" w:rsidP="00377A5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377A53">
        <w:rPr>
          <w:rFonts w:ascii="Century Gothic" w:hAnsi="Century Gothic"/>
        </w:rPr>
        <w:t>Além disso, o Sistema de Registro de Preços possibilita que as aquisições sejam realizadas de forma gradual, conforme a necessidade da Secretaria Municipal de Saúde, evitando aquisições em excesso, reduzindo perdas decorrentes do vencimento de medicamentos, otimizando a gestão de estoques e proporcionando maior eficiência na aplicação dos recursos públicos.</w:t>
      </w:r>
    </w:p>
    <w:p w14:paraId="6D99038C" w14:textId="747F79C5" w:rsidR="00F1541A" w:rsidRPr="00377A53" w:rsidRDefault="00377A53" w:rsidP="00377A5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377A53">
        <w:rPr>
          <w:rFonts w:ascii="Century Gothic" w:hAnsi="Century Gothic"/>
        </w:rPr>
        <w:t>Considerando que os medicamentos são itens independentes entre si, sem necessidade técnica de fornecimento conjunto e sem prejuízo à execução contratual, não se verifica vantagem na contratação em lote ou global. Assim, o parcelamento por item representa a solução mais adequada para atender ao interesse público, assegurando ampla competitividade, maior eficiência e melhor aproveitamento dos recursos públicos, em conformidade com as disposições da Lei nº 14.133/2021</w:t>
      </w:r>
      <w:r>
        <w:t>.</w:t>
      </w:r>
    </w:p>
    <w:p w14:paraId="222A04A7" w14:textId="77777777" w:rsidR="00F1541A" w:rsidRDefault="00BE3800">
      <w:pPr>
        <w:pStyle w:val="Ttulo1"/>
        <w:numPr>
          <w:ilvl w:val="0"/>
          <w:numId w:val="1"/>
        </w:numPr>
      </w:pPr>
      <w:bookmarkStart w:id="6" w:name="_heading=h.8km2co11co1b" w:colFirst="0" w:colLast="0"/>
      <w:bookmarkEnd w:id="6"/>
      <w:r>
        <w:t> DEMONSTRAÇÃO DOS RESULTADOS PRETENDIDOS.</w:t>
      </w:r>
    </w:p>
    <w:p w14:paraId="410138A2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Os resultados esperados na contratação da solução resumem-se a: </w:t>
      </w:r>
    </w:p>
    <w:p w14:paraId="66E68101" w14:textId="77777777" w:rsidR="00F1541A" w:rsidRDefault="00BE38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Pretende-se operacionalizar a aquisição de medicamentos e insumos farmacêuticos. </w:t>
      </w:r>
    </w:p>
    <w:p w14:paraId="33F0019E" w14:textId="77777777" w:rsidR="00F1541A" w:rsidRDefault="00BE38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Os itens adquiridos serão destinados à dispensação direta à população e à distribuição para o Núcleo Integrado de Saúde, do município de Lobato – PR. </w:t>
      </w:r>
    </w:p>
    <w:p w14:paraId="197AE6B6" w14:textId="77777777" w:rsidR="00F1541A" w:rsidRDefault="00BE38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Estes medicamentos e insumos são fundamentais para a manutenção da saúde humana, tendo em vista seu poder terapêutico e profilático, atuando no tratamento e prevenção de diversas condições de saúde. </w:t>
      </w:r>
    </w:p>
    <w:p w14:paraId="1AF1A591" w14:textId="77777777" w:rsidR="00F1541A" w:rsidRDefault="00BE38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 não aquisição desses insumos essenciais implicaria em prejuízo significativo à saúde da população atendida, colocando em risco a efetividade dos tratamentos e a segurança dos pacientes. </w:t>
      </w:r>
    </w:p>
    <w:p w14:paraId="43697029" w14:textId="77777777" w:rsidR="00F1541A" w:rsidRDefault="00BE38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Dessa forma, a solução proposta consiste na contratação de empresa especializada para o fornecimento desses medicamentos e insumos farmacêuticos, </w:t>
      </w:r>
      <w:r>
        <w:rPr>
          <w:rFonts w:ascii="Century Gothic" w:eastAsia="Century Gothic" w:hAnsi="Century Gothic" w:cs="Century Gothic"/>
          <w:color w:val="000000"/>
        </w:rPr>
        <w:lastRenderedPageBreak/>
        <w:t>garantindo a continuidade do atendimento, a qualidade dos produtos fornecidos e o cumprimento das normas sanitárias vigentes.</w:t>
      </w:r>
    </w:p>
    <w:p w14:paraId="3F00AF7C" w14:textId="77777777" w:rsidR="00F1541A" w:rsidRDefault="00BE3800">
      <w:pPr>
        <w:pStyle w:val="Ttulo1"/>
        <w:keepNext w:val="0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PROVIDÊNCIAS PRÉVIAS AO CONTRATO.</w:t>
      </w:r>
    </w:p>
    <w:p w14:paraId="1858F2AE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 Administração tomará as seguintes providências previamente ao contrato:</w:t>
      </w:r>
    </w:p>
    <w:p w14:paraId="2762AD64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Definições dos servidores que farão parte da equipe de fiscalização e gestão contratual;</w:t>
      </w:r>
    </w:p>
    <w:p w14:paraId="0FA2A74E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Capacitação dos fiscais e gestores a respeito do tema objeto da contratação;</w:t>
      </w:r>
    </w:p>
    <w:p w14:paraId="6DF903DF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Definição de planos de trabalho com vistas à boa execução contratual;</w:t>
      </w:r>
    </w:p>
    <w:p w14:paraId="0516661F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Acompanhamento rigoroso das ações previstas nos planos e projetos apresentados para a realização das adequações e melhorias no objeto a ser contratado;</w:t>
      </w:r>
    </w:p>
    <w:p w14:paraId="47585A26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Adequação de sistema informatizado de controle de estoque;</w:t>
      </w:r>
    </w:p>
    <w:p w14:paraId="23874810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Garantia de espaço físico adequado para armazenagem dos medicamentos;</w:t>
      </w:r>
    </w:p>
    <w:p w14:paraId="17E442A4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Verificação e adequação do espaço físico para o armazenamento dos medicamentos, garantindo condições de temperatura, umidade e segurança ideais, conforme as exigências sanitárias;</w:t>
      </w:r>
    </w:p>
    <w:p w14:paraId="2ADD433A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Análise e atualização dos regulamentos internos de almoxarifado e distribuição de medicamentos, para que estejam alinhados com as boas práticas de gestão.</w:t>
      </w:r>
    </w:p>
    <w:p w14:paraId="0568E403" w14:textId="77777777" w:rsidR="00F1541A" w:rsidRDefault="00BE3800">
      <w:pPr>
        <w:pStyle w:val="Ttulo1"/>
        <w:numPr>
          <w:ilvl w:val="0"/>
          <w:numId w:val="1"/>
        </w:numPr>
      </w:pPr>
      <w:r>
        <w:t>CONTRATAÇÕES CORRELATAS E/OU INTERDEPENDENTES</w:t>
      </w:r>
    </w:p>
    <w:p w14:paraId="23FFF5B3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Não cabe ao presente objeto.</w:t>
      </w:r>
    </w:p>
    <w:p w14:paraId="2D8186C1" w14:textId="77777777" w:rsidR="00F1541A" w:rsidRDefault="00BE3800">
      <w:pPr>
        <w:pStyle w:val="Ttulo1"/>
        <w:numPr>
          <w:ilvl w:val="0"/>
          <w:numId w:val="1"/>
        </w:numPr>
      </w:pPr>
      <w:r>
        <w:t>POSSÍVEIS IMPACTOS AMBIENTAIS E MEDIDAS MITIGADORAS.</w:t>
      </w:r>
    </w:p>
    <w:p w14:paraId="5D1B72D4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bookmarkStart w:id="7" w:name="_heading=h.wd8qujnxmg8z" w:colFirst="0" w:colLast="0"/>
      <w:bookmarkEnd w:id="7"/>
      <w:r>
        <w:rPr>
          <w:rFonts w:ascii="Century Gothic" w:eastAsia="Century Gothic" w:hAnsi="Century Gothic" w:cs="Century Gothic"/>
          <w:color w:val="000000"/>
        </w:rPr>
        <w:t>A Contratada deverá atender no que couber, os critérios de sustentabilidade, inseridos nos princípios da aplicação da Lei n.º 14.133/2021. Os materiais ofertados devem ser fornecidos por fornecedores compromissados com o meio ambiente, que mantenham programa continuado de sustentabilidade ambiental.</w:t>
      </w:r>
    </w:p>
    <w:p w14:paraId="01110B42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 aquisição de medicamentos pode ter vários impactos ambientais, que muitas vezes não são imediatamente visíveis. Aqui estão alguns dos principais aspectos: </w:t>
      </w:r>
    </w:p>
    <w:p w14:paraId="05E98719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b/>
          <w:bCs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 xml:space="preserve">Produção de Medicamentos: </w:t>
      </w:r>
    </w:p>
    <w:p w14:paraId="6AF06C53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Uso de Recursos Naturais: A fabricação de medicamentos pode demandar grandes quantidades de água e energia. A extração de recursos naturais, como minerais e produtos químicos, também podem ter impactos ambientais significativos. </w:t>
      </w:r>
    </w:p>
    <w:p w14:paraId="247891DD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Emissões de Poluentes: O processo de produção pode liberar poluentes no ar e na água, incluindo solventes orgânicos e resíduos tóxicos. </w:t>
      </w:r>
    </w:p>
    <w:p w14:paraId="4080A07B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b/>
          <w:bCs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 xml:space="preserve">Resíduos Farmacêuticos: </w:t>
      </w:r>
    </w:p>
    <w:p w14:paraId="21995651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Descartes Impropriados: Medicamentos descartados inadequadamente, como em lixo comum, podem contaminar solos e corpos d'água, afetando ecossistemas e a vida selvagem. </w:t>
      </w:r>
    </w:p>
    <w:p w14:paraId="12912DC8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lastRenderedPageBreak/>
        <w:t xml:space="preserve">Resíduos de Fabricação: Resíduos gerados durante a fabricação e embalamento de medicamentos podem conter substâncias químicas que necessitam de tratamento adequado. </w:t>
      </w:r>
    </w:p>
    <w:p w14:paraId="669608A7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 xml:space="preserve">Transporte: </w:t>
      </w:r>
    </w:p>
    <w:p w14:paraId="24D6D4F2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Emissões de Gases de Efeito Estufa: O transporte de medicamentos, que pode envolver uma cadeia logística global, contribui para a emissão de gases de efeito estufa devido ao uso de combustíveis fósseis. </w:t>
      </w:r>
    </w:p>
    <w:p w14:paraId="60B41F6E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 xml:space="preserve">Ciclo de Vida dos Medicamentos: </w:t>
      </w:r>
    </w:p>
    <w:p w14:paraId="79269ECB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Degradação e Persistência: Alguns medicamentos podem persistir no meio ambiente, especialmente se não forem corretamente eliminados. Isso pode levar à contaminação da água e do solo, afetando a fauna e a flora. </w:t>
      </w:r>
    </w:p>
    <w:p w14:paraId="59A6B7CC" w14:textId="77777777" w:rsidR="00F1541A" w:rsidRDefault="00BE38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 xml:space="preserve">Impactos na Saúde Ambiental: </w:t>
      </w:r>
    </w:p>
    <w:p w14:paraId="6BE5F63B" w14:textId="77777777" w:rsidR="00F1541A" w:rsidRDefault="00BE38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Efeitos em Organismos Aquáticos: Medicamentos que entram em corpos d'água podem afetar organismos aquáticos, levando a problemas como a resistência aos antibióticos em bactérias, alteração de comportamento e outros impactos ecológicos. </w:t>
      </w:r>
    </w:p>
    <w:p w14:paraId="70242F90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Para mitigar esses impactos, práticas como a adequada gestão de resíduos farmacêuticos, a adoção de processos de fabricação mais sustentáveis e a melhoria na logística de transporte é essencial. Além disso, a conscientização sobre o descarte correto de medicamentos e o apoio a políticas ambientais podem ajudar a minimizar os impactos ambientais associados à aquisição e ao uso de medicamentos.</w:t>
      </w:r>
    </w:p>
    <w:p w14:paraId="3741AA83" w14:textId="77777777" w:rsidR="00F1541A" w:rsidRDefault="00BE3800">
      <w:pPr>
        <w:pStyle w:val="Ttulo1"/>
        <w:numPr>
          <w:ilvl w:val="0"/>
          <w:numId w:val="1"/>
        </w:numPr>
      </w:pPr>
      <w:r>
        <w:t>CONCLUSÃO DO ESTUDO: VIABILIDADE OU NÃO DA CONTRATAÇÃO.</w:t>
      </w:r>
    </w:p>
    <w:p w14:paraId="6D373F86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51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Conforme se observa pelo levantamento de mercado realizado concluímos que a solução que se mostrou mais vantajosa, técnica e econômica será a realização de procedimento licitatório, via registro de preço, para que seja efetivamente realizada a aquisição dos bens almejados e necessários ao desenvolvimento institucional, vez que, não é possível determinar a quantidade exata de forma antecipada.</w:t>
      </w:r>
    </w:p>
    <w:p w14:paraId="7B8CF302" w14:textId="77777777" w:rsidR="00F1541A" w:rsidRDefault="00BE38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51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Com base nos resultados apresentados, concluímos que a contratação é adequada para atender à necessidade a que se destina, portanto declaro para todos os fins que com base no Estudo Técnico Preliminar esta contratação encontra-se viável. </w:t>
      </w:r>
    </w:p>
    <w:p w14:paraId="69539354" w14:textId="77777777" w:rsidR="00F1541A" w:rsidRDefault="00BE3800">
      <w:pPr>
        <w:pStyle w:val="Ttulo1"/>
        <w:numPr>
          <w:ilvl w:val="0"/>
          <w:numId w:val="1"/>
        </w:numPr>
      </w:pPr>
      <w:r>
        <w:t>LOCAL DE ENTREGA DO OBJETO</w:t>
      </w:r>
    </w:p>
    <w:p w14:paraId="4647E43E" w14:textId="77777777" w:rsidR="00F1541A" w:rsidRDefault="00BE38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>14.1.</w:t>
      </w:r>
      <w:r>
        <w:rPr>
          <w:rFonts w:ascii="Century Gothic" w:eastAsia="Century Gothic" w:hAnsi="Century Gothic" w:cs="Century Gothic"/>
          <w:color w:val="000000"/>
        </w:rPr>
        <w:t xml:space="preserve"> Os objetos deverão ser entregues no Núcleo Integrado de Saúde de Lobato, localizado na Rua Antônio Bergamo, número 858, centro, CEP 86790-000. </w:t>
      </w:r>
    </w:p>
    <w:p w14:paraId="4F0BF97C" w14:textId="77777777" w:rsidR="00F1541A" w:rsidRDefault="00F154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</w:rPr>
      </w:pPr>
    </w:p>
    <w:p w14:paraId="196EF785" w14:textId="77777777" w:rsidR="00F1541A" w:rsidRDefault="00BE3800">
      <w:pPr>
        <w:ind w:firstLine="426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Declaramos que o presente estudo técnico preliminar atendeu aos requisitos da Lei 14.133/2021.</w:t>
      </w:r>
    </w:p>
    <w:p w14:paraId="7D917074" w14:textId="77777777" w:rsidR="00F1541A" w:rsidRDefault="00F1541A">
      <w:pPr>
        <w:ind w:firstLine="426"/>
        <w:jc w:val="both"/>
        <w:rPr>
          <w:rFonts w:ascii="Century Gothic" w:eastAsia="Century Gothic" w:hAnsi="Century Gothic" w:cs="Century Gothic"/>
        </w:rPr>
      </w:pPr>
    </w:p>
    <w:p w14:paraId="757C83B9" w14:textId="0B7AC7DB" w:rsidR="00377A53" w:rsidRDefault="00CA69F1" w:rsidP="00CA69F1">
      <w:pPr>
        <w:spacing w:line="360" w:lineRule="auto"/>
        <w:ind w:firstLine="1418"/>
        <w:jc w:val="right"/>
        <w:rPr>
          <w:rFonts w:ascii="Century Gothic" w:eastAsia="Century Gothic" w:hAnsi="Century Gothic" w:cs="Century Gothic"/>
          <w:color w:val="000000"/>
        </w:rPr>
      </w:pPr>
      <w:bookmarkStart w:id="8" w:name="_heading=h.7ao6e9gilnuw" w:colFirst="0" w:colLast="0"/>
      <w:bookmarkEnd w:id="8"/>
      <w:r>
        <w:rPr>
          <w:rFonts w:ascii="Century Gothic" w:eastAsia="Century Gothic" w:hAnsi="Century Gothic" w:cs="Century Gothic"/>
        </w:rPr>
        <w:t>Lobato, 5</w:t>
      </w:r>
      <w:r w:rsidR="00BE3800">
        <w:rPr>
          <w:rFonts w:ascii="Century Gothic" w:eastAsia="Century Gothic" w:hAnsi="Century Gothic" w:cs="Century Gothic"/>
        </w:rPr>
        <w:t xml:space="preserve"> de </w:t>
      </w:r>
      <w:r>
        <w:rPr>
          <w:rFonts w:ascii="Century Gothic" w:eastAsia="Century Gothic" w:hAnsi="Century Gothic" w:cs="Century Gothic"/>
        </w:rPr>
        <w:t>agosto</w:t>
      </w:r>
      <w:r w:rsidR="005C4F48">
        <w:rPr>
          <w:rFonts w:ascii="Century Gothic" w:eastAsia="Century Gothic" w:hAnsi="Century Gothic" w:cs="Century Gothic"/>
        </w:rPr>
        <w:t xml:space="preserve"> </w:t>
      </w:r>
      <w:r w:rsidR="00BE3800">
        <w:rPr>
          <w:rFonts w:ascii="Century Gothic" w:eastAsia="Century Gothic" w:hAnsi="Century Gothic" w:cs="Century Gothic"/>
        </w:rPr>
        <w:t>de 2026.</w:t>
      </w:r>
    </w:p>
    <w:p w14:paraId="2EDB180E" w14:textId="77777777" w:rsidR="00377A53" w:rsidRDefault="00377A53">
      <w:pPr>
        <w:jc w:val="center"/>
        <w:rPr>
          <w:rFonts w:ascii="Century Gothic" w:eastAsia="Century Gothic" w:hAnsi="Century Gothic" w:cs="Century Gothic"/>
          <w:color w:val="000000"/>
        </w:rPr>
      </w:pPr>
    </w:p>
    <w:p w14:paraId="5C5D7E18" w14:textId="77777777" w:rsidR="005C4F48" w:rsidRDefault="005C4F48">
      <w:pPr>
        <w:jc w:val="center"/>
        <w:rPr>
          <w:rFonts w:ascii="Century Gothic" w:eastAsia="Century Gothic" w:hAnsi="Century Gothic" w:cs="Century Gothic"/>
          <w:color w:val="000000"/>
        </w:rPr>
      </w:pPr>
    </w:p>
    <w:p w14:paraId="48A8DEE1" w14:textId="77777777" w:rsidR="00F1541A" w:rsidRDefault="00BE3800">
      <w:pPr>
        <w:jc w:val="center"/>
        <w:rPr>
          <w:rFonts w:ascii="Century Gothic" w:eastAsia="Century Gothic" w:hAnsi="Century Gothic" w:cs="Century Gothic"/>
          <w:b/>
          <w:bCs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_______________________________________</w:t>
      </w:r>
    </w:p>
    <w:p w14:paraId="58F3806C" w14:textId="77777777" w:rsidR="005C4F48" w:rsidRDefault="00BE3800" w:rsidP="005C4F48">
      <w:pPr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ISABEL APARECIDA LUCIO MASSON</w:t>
      </w:r>
    </w:p>
    <w:p w14:paraId="6364CB65" w14:textId="5FBE0D7B" w:rsidR="00F1541A" w:rsidRPr="005C4F48" w:rsidRDefault="00BE3800" w:rsidP="005C4F48">
      <w:pPr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Secretária Municipal de Saúde</w:t>
      </w:r>
      <w:bookmarkStart w:id="9" w:name="_heading=h.6hs6tfaru39a" w:colFirst="0" w:colLast="0"/>
      <w:bookmarkEnd w:id="9"/>
    </w:p>
    <w:sectPr w:rsidR="00F1541A" w:rsidRPr="005C4F4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2836" w:right="992" w:bottom="1701" w:left="2552" w:header="720" w:footer="32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897A7" w14:textId="77777777" w:rsidR="00B2090B" w:rsidRDefault="00B2090B">
      <w:r>
        <w:separator/>
      </w:r>
    </w:p>
  </w:endnote>
  <w:endnote w:type="continuationSeparator" w:id="0">
    <w:p w14:paraId="34890F69" w14:textId="77777777" w:rsidR="00B2090B" w:rsidRDefault="00B20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6F1B1FAB-F968-4E94-B7A5-3B3783A307CD}"/>
    <w:embedBold r:id="rId2" w:fontKey="{880A15D9-DD4C-4ADA-AD7E-9EFB089197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C0FCFCB-1984-4C24-A300-AC403F491C35}"/>
    <w:embedBold r:id="rId4" w:fontKey="{4C37A1FB-EE98-42FE-9AE3-9E09B17E7F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5164AF1-0550-449B-9239-7A7E942518A8}"/>
    <w:embedBold r:id="rId6" w:fontKey="{EF709688-C123-48CE-AC48-8EDD8B51D5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489E309-86F5-44CF-9282-26E6082228F8}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8" w:fontKey="{A9D7F963-D0E6-4226-970B-20851DABF373}"/>
    <w:embedBold r:id="rId9" w:fontKey="{1D9DB7FE-8BB2-4BF4-B324-C5665F7CA2D6}"/>
    <w:embedItalic r:id="rId10" w:fontKey="{8DA6FD72-A4CB-4CA9-8CF4-D4D2C79263DA}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, 宋体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F5783C86-2516-4F6F-A457-2D50ECE089C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32A27" w14:textId="5F172984" w:rsidR="00B2090B" w:rsidRDefault="00B209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3"/>
      <w:jc w:val="right"/>
      <w:rPr>
        <w:color w:val="000000"/>
      </w:rPr>
    </w:pPr>
    <w:r>
      <w:rPr>
        <w:noProof/>
      </w:rPr>
      <w:drawing>
        <wp:anchor distT="0" distB="0" distL="0" distR="0" simplePos="0" relativeHeight="251657216" behindDoc="1" locked="0" layoutInCell="1" hidden="0" allowOverlap="1" wp14:anchorId="42BE6D41" wp14:editId="4E389945">
          <wp:simplePos x="0" y="0"/>
          <wp:positionH relativeFrom="column">
            <wp:posOffset>-2395644</wp:posOffset>
          </wp:positionH>
          <wp:positionV relativeFrom="paragraph">
            <wp:posOffset>-402166</wp:posOffset>
          </wp:positionV>
          <wp:extent cx="6712166" cy="902525"/>
          <wp:effectExtent l="0" t="0" r="0" b="0"/>
          <wp:wrapNone/>
          <wp:docPr id="185769817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12166" cy="902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 xml:space="preserve">Página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PAGE</w:instrText>
    </w:r>
    <w:r>
      <w:rPr>
        <w:b/>
        <w:bCs/>
        <w:color w:val="000000"/>
        <w:sz w:val="24"/>
        <w:szCs w:val="24"/>
      </w:rPr>
      <w:fldChar w:fldCharType="separate"/>
    </w:r>
    <w:r w:rsidR="00A72367">
      <w:rPr>
        <w:b/>
        <w:bCs/>
        <w:noProof/>
        <w:color w:val="000000"/>
        <w:sz w:val="24"/>
        <w:szCs w:val="24"/>
      </w:rPr>
      <w:t>5</w:t>
    </w:r>
    <w:r>
      <w:rPr>
        <w:b/>
        <w:bCs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NUMPAGES</w:instrText>
    </w:r>
    <w:r>
      <w:rPr>
        <w:b/>
        <w:bCs/>
        <w:color w:val="000000"/>
        <w:sz w:val="24"/>
        <w:szCs w:val="24"/>
      </w:rPr>
      <w:fldChar w:fldCharType="separate"/>
    </w:r>
    <w:r w:rsidR="00A72367">
      <w:rPr>
        <w:b/>
        <w:bCs/>
        <w:noProof/>
        <w:color w:val="000000"/>
        <w:sz w:val="24"/>
        <w:szCs w:val="24"/>
      </w:rPr>
      <w:t>12</w:t>
    </w:r>
    <w:r>
      <w:rPr>
        <w:b/>
        <w:bCs/>
        <w:color w:val="000000"/>
        <w:sz w:val="24"/>
        <w:szCs w:val="24"/>
      </w:rPr>
      <w:fldChar w:fldCharType="end"/>
    </w:r>
  </w:p>
  <w:p w14:paraId="01A50B77" w14:textId="220DFAF1" w:rsidR="00B2090B" w:rsidRDefault="00B2090B" w:rsidP="007B545D">
    <w:pPr>
      <w:pBdr>
        <w:top w:val="nil"/>
        <w:left w:val="nil"/>
        <w:bottom w:val="nil"/>
        <w:right w:val="nil"/>
        <w:between w:val="nil"/>
      </w:pBdr>
      <w:tabs>
        <w:tab w:val="left" w:pos="1133"/>
      </w:tabs>
      <w:jc w:val="both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CE104" w14:textId="06919966" w:rsidR="00B2090B" w:rsidRDefault="00B209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428"/>
      <w:jc w:val="right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E851EF8" wp14:editId="0401FE04">
          <wp:simplePos x="0" y="0"/>
          <wp:positionH relativeFrom="column">
            <wp:posOffset>-1727200</wp:posOffset>
          </wp:positionH>
          <wp:positionV relativeFrom="paragraph">
            <wp:posOffset>-462090</wp:posOffset>
          </wp:positionV>
          <wp:extent cx="6234430" cy="925830"/>
          <wp:effectExtent l="0" t="0" r="0" b="7620"/>
          <wp:wrapNone/>
          <wp:docPr id="185769817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4430" cy="925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 xml:space="preserve">Página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PAGE</w:instrText>
    </w:r>
    <w:r>
      <w:rPr>
        <w:b/>
        <w:bCs/>
        <w:color w:val="000000"/>
        <w:sz w:val="24"/>
        <w:szCs w:val="24"/>
      </w:rPr>
      <w:fldChar w:fldCharType="separate"/>
    </w:r>
    <w:r w:rsidR="00A72367">
      <w:rPr>
        <w:b/>
        <w:bCs/>
        <w:noProof/>
        <w:color w:val="000000"/>
        <w:sz w:val="24"/>
        <w:szCs w:val="24"/>
      </w:rPr>
      <w:t>1</w:t>
    </w:r>
    <w:r>
      <w:rPr>
        <w:b/>
        <w:bCs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NUMPAGES</w:instrText>
    </w:r>
    <w:r>
      <w:rPr>
        <w:b/>
        <w:bCs/>
        <w:color w:val="000000"/>
        <w:sz w:val="24"/>
        <w:szCs w:val="24"/>
      </w:rPr>
      <w:fldChar w:fldCharType="separate"/>
    </w:r>
    <w:r w:rsidR="00A72367">
      <w:rPr>
        <w:b/>
        <w:bCs/>
        <w:noProof/>
        <w:color w:val="000000"/>
        <w:sz w:val="24"/>
        <w:szCs w:val="24"/>
      </w:rPr>
      <w:t>12</w:t>
    </w:r>
    <w:r>
      <w:rPr>
        <w:b/>
        <w:bCs/>
        <w:color w:val="000000"/>
        <w:sz w:val="24"/>
        <w:szCs w:val="24"/>
      </w:rPr>
      <w:fldChar w:fldCharType="end"/>
    </w:r>
  </w:p>
  <w:p w14:paraId="05E10EBA" w14:textId="77777777" w:rsidR="00B2090B" w:rsidRDefault="00B209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F1818" w14:textId="77777777" w:rsidR="00B2090B" w:rsidRDefault="00B2090B">
      <w:r>
        <w:separator/>
      </w:r>
    </w:p>
  </w:footnote>
  <w:footnote w:type="continuationSeparator" w:id="0">
    <w:p w14:paraId="111B4988" w14:textId="77777777" w:rsidR="00B2090B" w:rsidRDefault="00B20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FEF2C" w14:textId="77777777" w:rsidR="00B2090B" w:rsidRDefault="00A723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6D926A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439pt;height:286.25pt;z-index:-251656704;mso-position-horizontal:center;mso-position-horizontal-relative:margin;mso-position-vertical:center;mso-position-vertical-relative:margin">
          <v:imagedata r:id="rId1" o:title="image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A66B5" w14:textId="77777777" w:rsidR="00B2090B" w:rsidRDefault="00B209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5680" behindDoc="1" locked="0" layoutInCell="1" hidden="0" allowOverlap="1" wp14:anchorId="2502039F" wp14:editId="5951A86D">
          <wp:simplePos x="0" y="0"/>
          <wp:positionH relativeFrom="column">
            <wp:posOffset>-391380</wp:posOffset>
          </wp:positionH>
          <wp:positionV relativeFrom="paragraph">
            <wp:posOffset>-456744</wp:posOffset>
          </wp:positionV>
          <wp:extent cx="7344461" cy="1454600"/>
          <wp:effectExtent l="0" t="0" r="0" b="0"/>
          <wp:wrapNone/>
          <wp:docPr id="185769817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4461" cy="1454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31439" w14:textId="77777777" w:rsidR="00B2090B" w:rsidRDefault="00B209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2CB74A3F" wp14:editId="0EA814E7">
          <wp:simplePos x="0" y="0"/>
          <wp:positionH relativeFrom="column">
            <wp:posOffset>-587826</wp:posOffset>
          </wp:positionH>
          <wp:positionV relativeFrom="paragraph">
            <wp:posOffset>-451260</wp:posOffset>
          </wp:positionV>
          <wp:extent cx="7344461" cy="1454600"/>
          <wp:effectExtent l="0" t="0" r="0" b="0"/>
          <wp:wrapNone/>
          <wp:docPr id="185769817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4461" cy="1454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51201"/>
    <w:multiLevelType w:val="multilevel"/>
    <w:tmpl w:val="DF10E472"/>
    <w:lvl w:ilvl="0">
      <w:start w:val="1"/>
      <w:numFmt w:val="decimal"/>
      <w:lvlText w:val="%1."/>
      <w:lvlJc w:val="left"/>
      <w:pPr>
        <w:ind w:left="1506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entury Gothic" w:eastAsia="Century Gothic" w:hAnsi="Century Gothic" w:cs="Century Gothic"/>
        <w:b/>
        <w:bCs/>
      </w:rPr>
    </w:lvl>
    <w:lvl w:ilvl="2">
      <w:start w:val="1"/>
      <w:numFmt w:val="decimal"/>
      <w:lvlText w:val="%1.%2.%3."/>
      <w:lvlJc w:val="left"/>
      <w:pPr>
        <w:ind w:left="1866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2226" w:hanging="108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26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586" w:hanging="1438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2586" w:hanging="1438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2946" w:hanging="1798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946" w:hanging="1798"/>
      </w:pPr>
      <w:rPr>
        <w:b/>
        <w:bCs/>
      </w:rPr>
    </w:lvl>
  </w:abstractNum>
  <w:abstractNum w:abstractNumId="1" w15:restartNumberingAfterBreak="0">
    <w:nsid w:val="57855EE7"/>
    <w:multiLevelType w:val="multilevel"/>
    <w:tmpl w:val="41DAD31A"/>
    <w:lvl w:ilvl="0">
      <w:start w:val="10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510" w:hanging="51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1541A"/>
    <w:rsid w:val="00041C40"/>
    <w:rsid w:val="000C21DE"/>
    <w:rsid w:val="0024207F"/>
    <w:rsid w:val="00377A53"/>
    <w:rsid w:val="0039306A"/>
    <w:rsid w:val="003D0E1B"/>
    <w:rsid w:val="00436D04"/>
    <w:rsid w:val="005C4F48"/>
    <w:rsid w:val="006365B6"/>
    <w:rsid w:val="006E54A8"/>
    <w:rsid w:val="007B545D"/>
    <w:rsid w:val="007D6F7C"/>
    <w:rsid w:val="007E2563"/>
    <w:rsid w:val="008207B8"/>
    <w:rsid w:val="00825188"/>
    <w:rsid w:val="00976815"/>
    <w:rsid w:val="00A72367"/>
    <w:rsid w:val="00AD0A7E"/>
    <w:rsid w:val="00AE5745"/>
    <w:rsid w:val="00AE764A"/>
    <w:rsid w:val="00B2090B"/>
    <w:rsid w:val="00B372F3"/>
    <w:rsid w:val="00BE3800"/>
    <w:rsid w:val="00CA69F1"/>
    <w:rsid w:val="00D23CAB"/>
    <w:rsid w:val="00D32B29"/>
    <w:rsid w:val="00DD7B3A"/>
    <w:rsid w:val="00E041DC"/>
    <w:rsid w:val="00E30ECE"/>
    <w:rsid w:val="00E82BB8"/>
    <w:rsid w:val="00F1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3373B0"/>
  <w15:docId w15:val="{B8309AFA-1127-46CD-BF07-F8773F7B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qFormat/>
    <w:pPr>
      <w:keepNext/>
      <w:spacing w:before="240" w:after="240"/>
      <w:ind w:left="1506" w:hanging="360"/>
      <w:outlineLvl w:val="0"/>
    </w:pPr>
    <w:rPr>
      <w:rFonts w:ascii="Century Gothic" w:eastAsia="Century Gothic" w:hAnsi="Century Gothic" w:cs="Century Gothic"/>
      <w:b/>
      <w:bCs/>
    </w:rPr>
  </w:style>
  <w:style w:type="paragraph" w:styleId="Ttulo2">
    <w:name w:val="heading 2"/>
    <w:basedOn w:val="Normal"/>
    <w:next w:val="Normal"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40"/>
      <w:outlineLvl w:val="5"/>
    </w:pPr>
    <w:rPr>
      <w:rFonts w:ascii="Cambria" w:eastAsia="Cambria" w:hAnsi="Cambria" w:cs="Cambria"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1Char">
    <w:name w:val="Título 1 Char"/>
    <w:basedOn w:val="Fontepargpadro"/>
    <w:rsid w:val="00C74C8B"/>
    <w:rPr>
      <w:rFonts w:ascii="Century Gothic" w:eastAsia="Times New Roman" w:hAnsi="Century Gothic" w:cs="Times New Roman"/>
      <w:b/>
      <w:bCs/>
      <w:kern w:val="32"/>
    </w:rPr>
  </w:style>
  <w:style w:type="character" w:customStyle="1" w:styleId="Ttulo2Char">
    <w:name w:val="Título 2 Char"/>
    <w:basedOn w:val="Fontepargpadro"/>
    <w:semiHidden/>
    <w:rsid w:val="00DA5B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semiHidden/>
    <w:rsid w:val="00D63F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6Char">
    <w:name w:val="Título 6 Char"/>
    <w:basedOn w:val="Fontepargpadro"/>
    <w:semiHidden/>
    <w:rsid w:val="00CC321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2A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2A32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2A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2A32"/>
    <w:rPr>
      <w:rFonts w:ascii="Calibri" w:eastAsia="Calibri" w:hAnsi="Calibri" w:cs="Arial"/>
      <w:sz w:val="20"/>
      <w:szCs w:val="20"/>
      <w:lang w:eastAsia="pt-BR"/>
    </w:rPr>
  </w:style>
  <w:style w:type="paragraph" w:customStyle="1" w:styleId="Default">
    <w:name w:val="Default"/>
    <w:uiPriority w:val="99"/>
    <w:qFormat/>
    <w:rsid w:val="00BA2A32"/>
    <w:pPr>
      <w:suppressAutoHyphens/>
      <w:autoSpaceDE w:val="0"/>
    </w:pPr>
    <w:rPr>
      <w:rFonts w:ascii="TimesNewRoman" w:eastAsia="Arial" w:hAnsi="TimesNewRoman" w:cs="Times New Roman"/>
      <w:kern w:val="1"/>
      <w:lang w:eastAsia="ar-SA"/>
    </w:rPr>
  </w:style>
  <w:style w:type="paragraph" w:styleId="PargrafodaLista">
    <w:name w:val="List Paragraph"/>
    <w:aliases w:val="Titulo de Fígura,TITULO A,lp1,Iz - Párrafo de lista,Sivsa Parrafo,Titulo parrafo,3,Punto,Fundamentacion"/>
    <w:basedOn w:val="Normal"/>
    <w:link w:val="PargrafodaListaChar"/>
    <w:uiPriority w:val="34"/>
    <w:qFormat/>
    <w:rsid w:val="00BA2A32"/>
    <w:pPr>
      <w:ind w:left="720"/>
      <w:contextualSpacing/>
    </w:pPr>
  </w:style>
  <w:style w:type="character" w:customStyle="1" w:styleId="PargrafodaListaChar">
    <w:name w:val="Parágrafo da Lista Char"/>
    <w:aliases w:val="Titulo de Fígura Char,TITULO A Char,lp1 Char,Iz - Párrafo de lista Char,Sivsa Parrafo Char,Titulo parrafo Char,3 Char,Punto Char,Fundamentacion Char"/>
    <w:link w:val="PargrafodaLista"/>
    <w:uiPriority w:val="34"/>
    <w:qFormat/>
    <w:locked/>
    <w:rsid w:val="00A144AF"/>
    <w:rPr>
      <w:rFonts w:cs="Arial"/>
    </w:rPr>
  </w:style>
  <w:style w:type="paragraph" w:styleId="NormalWeb">
    <w:name w:val="Normal (Web)"/>
    <w:basedOn w:val="Normal"/>
    <w:uiPriority w:val="99"/>
    <w:unhideWhenUsed/>
    <w:rsid w:val="00BA2A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rsid w:val="00BA2A32"/>
    <w:rPr>
      <w:b/>
      <w:bCs/>
    </w:rPr>
  </w:style>
  <w:style w:type="character" w:styleId="Hyperlink">
    <w:name w:val="Hyperlink"/>
    <w:uiPriority w:val="99"/>
    <w:unhideWhenUsed/>
    <w:qFormat/>
    <w:rsid w:val="00BA2A32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BA2A32"/>
    <w:pPr>
      <w:spacing w:after="100" w:line="259" w:lineRule="auto"/>
    </w:pPr>
    <w:rPr>
      <w:rFonts w:asciiTheme="minorHAnsi" w:eastAsiaTheme="minorEastAsia" w:hAnsiTheme="minorHAnsi" w:cs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unhideWhenUsed/>
    <w:rsid w:val="00BA2A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BA2A32"/>
    <w:rPr>
      <w:rFonts w:ascii="Tahoma" w:eastAsia="Calibri" w:hAnsi="Tahoma" w:cs="Tahoma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nhideWhenUsed/>
    <w:rsid w:val="0026193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C44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uiPriority w:val="99"/>
    <w:rsid w:val="00822B44"/>
    <w:pPr>
      <w:widowControl w:val="0"/>
      <w:suppressLineNumbers/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normaltextrun">
    <w:name w:val="normaltextrun"/>
    <w:basedOn w:val="Fontepargpadro"/>
    <w:rsid w:val="00D63F02"/>
  </w:style>
  <w:style w:type="character" w:customStyle="1" w:styleId="eop">
    <w:name w:val="eop"/>
    <w:basedOn w:val="Fontepargpadro"/>
    <w:rsid w:val="00D63F02"/>
  </w:style>
  <w:style w:type="paragraph" w:styleId="SemEspaamento">
    <w:name w:val="No Spacing"/>
    <w:link w:val="SemEspaamentoChar"/>
    <w:qFormat/>
    <w:rsid w:val="00D63F02"/>
    <w:rPr>
      <w:rFonts w:cs="Times New Roman"/>
    </w:rPr>
  </w:style>
  <w:style w:type="character" w:customStyle="1" w:styleId="SemEspaamentoChar">
    <w:name w:val="Sem Espaçamento Char"/>
    <w:link w:val="SemEspaamento"/>
    <w:rsid w:val="00D63F02"/>
    <w:rPr>
      <w:rFonts w:ascii="Calibri" w:eastAsia="Calibri" w:hAnsi="Calibri" w:cs="Times New Roman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Standard">
    <w:name w:val="Standard"/>
    <w:uiPriority w:val="99"/>
    <w:rsid w:val="00A144A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A144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uiPriority w:val="99"/>
    <w:rsid w:val="00A144AF"/>
    <w:pPr>
      <w:spacing w:after="140" w:line="276" w:lineRule="auto"/>
    </w:pPr>
  </w:style>
  <w:style w:type="paragraph" w:styleId="Lista">
    <w:name w:val="List"/>
    <w:basedOn w:val="Textbody"/>
    <w:rsid w:val="00A144AF"/>
  </w:style>
  <w:style w:type="paragraph" w:styleId="Legenda">
    <w:name w:val="caption"/>
    <w:basedOn w:val="Standard"/>
    <w:qFormat/>
    <w:rsid w:val="00A144A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A144AF"/>
    <w:pPr>
      <w:suppressLineNumbers/>
    </w:pPr>
  </w:style>
  <w:style w:type="paragraph" w:customStyle="1" w:styleId="WW-Ttulo">
    <w:name w:val="WW-Título"/>
    <w:basedOn w:val="Standard"/>
    <w:next w:val="Textbody"/>
    <w:uiPriority w:val="99"/>
    <w:rsid w:val="00A144A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Standarduser">
    <w:name w:val="Standard (user)"/>
    <w:uiPriority w:val="99"/>
    <w:rsid w:val="00A144AF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A144AF"/>
    <w:pPr>
      <w:jc w:val="center"/>
    </w:pPr>
    <w:rPr>
      <w:b/>
      <w:bCs/>
    </w:rPr>
  </w:style>
  <w:style w:type="paragraph" w:customStyle="1" w:styleId="textbody0">
    <w:name w:val="textbody"/>
    <w:basedOn w:val="Normal"/>
    <w:uiPriority w:val="99"/>
    <w:rsid w:val="00A144AF"/>
    <w:pPr>
      <w:autoSpaceDN w:val="0"/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beringSymbols">
    <w:name w:val="Numbering Symbols"/>
    <w:rsid w:val="00A144AF"/>
    <w:rPr>
      <w:rFonts w:ascii="Calibri" w:eastAsia="Calibri" w:hAnsi="Calibri" w:cs="Calibri"/>
      <w:sz w:val="20"/>
      <w:szCs w:val="20"/>
    </w:rPr>
  </w:style>
  <w:style w:type="character" w:customStyle="1" w:styleId="Internetlink">
    <w:name w:val="Internet link"/>
    <w:rsid w:val="00A144AF"/>
    <w:rPr>
      <w:color w:val="000080"/>
      <w:u w:val="single"/>
    </w:rPr>
  </w:style>
  <w:style w:type="character" w:customStyle="1" w:styleId="BulletSymbols">
    <w:name w:val="Bullet Symbols"/>
    <w:rsid w:val="00A144AF"/>
    <w:rPr>
      <w:rFonts w:ascii="OpenSymbol" w:eastAsia="OpenSymbol" w:hAnsi="OpenSymbol" w:cs="OpenSymbol"/>
    </w:rPr>
  </w:style>
  <w:style w:type="character" w:customStyle="1" w:styleId="StrongEmphasis">
    <w:name w:val="Strong Emphasis"/>
    <w:rsid w:val="00A144AF"/>
    <w:rPr>
      <w:b/>
      <w:bCs/>
    </w:rPr>
  </w:style>
  <w:style w:type="paragraph" w:customStyle="1" w:styleId="xl63">
    <w:name w:val="xl63"/>
    <w:basedOn w:val="Normal"/>
    <w:uiPriority w:val="99"/>
    <w:rsid w:val="00A144AF"/>
    <w:pP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64">
    <w:name w:val="xl64"/>
    <w:basedOn w:val="Normal"/>
    <w:uiPriority w:val="99"/>
    <w:rsid w:val="00A14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65">
    <w:name w:val="xl65"/>
    <w:basedOn w:val="Normal"/>
    <w:uiPriority w:val="99"/>
    <w:rsid w:val="00A14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66">
    <w:name w:val="xl66"/>
    <w:basedOn w:val="Normal"/>
    <w:uiPriority w:val="99"/>
    <w:rsid w:val="00A14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67">
    <w:name w:val="xl67"/>
    <w:basedOn w:val="Normal"/>
    <w:uiPriority w:val="99"/>
    <w:rsid w:val="00A14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16"/>
      <w:szCs w:val="16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Ttulo4Char">
    <w:name w:val="Título 4 Char"/>
    <w:basedOn w:val="Fontepargpadro"/>
    <w:link w:val="Ttulo4"/>
    <w:rsid w:val="00D23CAB"/>
    <w:rPr>
      <w:b/>
      <w:bCs/>
      <w:sz w:val="24"/>
      <w:szCs w:val="24"/>
    </w:rPr>
  </w:style>
  <w:style w:type="character" w:customStyle="1" w:styleId="Ttulo5Char">
    <w:name w:val="Título 5 Char"/>
    <w:basedOn w:val="Fontepargpadro"/>
    <w:link w:val="Ttulo5"/>
    <w:rsid w:val="00D23CAB"/>
    <w:rPr>
      <w:b/>
      <w:bCs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D23CAB"/>
    <w:rPr>
      <w:color w:val="954F72"/>
      <w:u w:val="single"/>
    </w:rPr>
  </w:style>
  <w:style w:type="paragraph" w:customStyle="1" w:styleId="msonormal0">
    <w:name w:val="msonormal"/>
    <w:basedOn w:val="Normal"/>
    <w:uiPriority w:val="99"/>
    <w:rsid w:val="00D23C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rsid w:val="00D23CAB"/>
    <w:rPr>
      <w:b/>
      <w:bCs/>
      <w:sz w:val="72"/>
      <w:szCs w:val="72"/>
    </w:rPr>
  </w:style>
  <w:style w:type="character" w:customStyle="1" w:styleId="SubttuloChar">
    <w:name w:val="Subtítulo Char"/>
    <w:basedOn w:val="Fontepargpadro"/>
    <w:link w:val="Subttulo"/>
    <w:uiPriority w:val="99"/>
    <w:rsid w:val="00D23CAB"/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isselectedend">
    <w:name w:val="isselectedend"/>
    <w:basedOn w:val="Normal"/>
    <w:rsid w:val="00377A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UqpQuq2kyKBSNCNSHNw9WprSQ==">CgMxLjAyDmgudHFkZGFua2dxM2owMg5oLjh6Y2dwemxoOTBxcTINaC5iZWxiZGs4b3k4MzIOaC5ndXhwOWtud2FnOWUyDmguZ3Fwc3Y4amNocDdtMg5oLjhrbTJjbzExY28xYjIOaC53ZDhxdWpueG1nOHoyDmguN2FvNmU5Z2lsbnV3Mg5oLjZoczZ0ZmFydTM5YTgAciExeXJrV00tVUFOQkl5NEcwRnlDa1N0VUF4Wmo0NVNVdnA=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12</Pages>
  <Words>5155</Words>
  <Characters>27840</Characters>
  <Application>Microsoft Office Word</Application>
  <DocSecurity>0</DocSecurity>
  <Lines>232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 Dani</dc:creator>
  <cp:lastModifiedBy>Windows 11 Pro</cp:lastModifiedBy>
  <cp:revision>17</cp:revision>
  <cp:lastPrinted>2026-08-27T14:11:00Z</cp:lastPrinted>
  <dcterms:created xsi:type="dcterms:W3CDTF">2026-03-18T20:00:00Z</dcterms:created>
  <dcterms:modified xsi:type="dcterms:W3CDTF">2026-08-27T14:13:00Z</dcterms:modified>
</cp:coreProperties>
</file>